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B1" w:rsidRPr="005D2D45" w:rsidRDefault="00B8491F" w:rsidP="005D2D45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Pregão n.º 12</w:t>
      </w:r>
      <w:r w:rsidR="00900E91" w:rsidRPr="005D2D45">
        <w:rPr>
          <w:rFonts w:ascii="Verdana" w:hAnsi="Verdana" w:cs="Arial"/>
          <w:b/>
          <w:sz w:val="22"/>
          <w:szCs w:val="22"/>
        </w:rPr>
        <w:t>/</w:t>
      </w:r>
      <w:r w:rsidR="007B71B2" w:rsidRPr="005D2D45">
        <w:rPr>
          <w:rFonts w:ascii="Verdana" w:hAnsi="Verdana" w:cs="Arial"/>
          <w:b/>
          <w:sz w:val="22"/>
          <w:szCs w:val="22"/>
        </w:rPr>
        <w:t>2018</w:t>
      </w:r>
    </w:p>
    <w:p w:rsidR="00E836CC" w:rsidRPr="005D2D45" w:rsidRDefault="00900E91" w:rsidP="005D2D45">
      <w:pPr>
        <w:jc w:val="center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ANEXO I</w:t>
      </w:r>
    </w:p>
    <w:p w:rsidR="00E836CC" w:rsidRPr="005D2D45" w:rsidRDefault="0042571B" w:rsidP="005D2D45">
      <w:pPr>
        <w:jc w:val="center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TERMO DE REFERÊNCIA</w:t>
      </w:r>
      <w:r w:rsidR="00BD0F39" w:rsidRPr="005D2D45">
        <w:rPr>
          <w:rFonts w:ascii="Verdana" w:hAnsi="Verdana" w:cs="Arial"/>
          <w:b/>
          <w:sz w:val="22"/>
          <w:szCs w:val="22"/>
        </w:rPr>
        <w:t xml:space="preserve"> </w:t>
      </w:r>
      <w:r w:rsidR="00900E91" w:rsidRPr="005D2D45">
        <w:rPr>
          <w:rFonts w:ascii="Verdana" w:hAnsi="Verdana" w:cs="Arial"/>
          <w:b/>
          <w:sz w:val="22"/>
          <w:szCs w:val="22"/>
        </w:rPr>
        <w:t>n</w:t>
      </w:r>
      <w:r w:rsidR="00BD0F39" w:rsidRPr="005D2D45">
        <w:rPr>
          <w:rFonts w:ascii="Verdana" w:hAnsi="Verdana" w:cs="Arial"/>
          <w:b/>
          <w:sz w:val="22"/>
          <w:szCs w:val="22"/>
        </w:rPr>
        <w:t xml:space="preserve">º </w:t>
      </w:r>
      <w:r w:rsidR="007B71B2" w:rsidRPr="005D2D45">
        <w:rPr>
          <w:rFonts w:ascii="Verdana" w:hAnsi="Verdana" w:cs="Arial"/>
          <w:b/>
          <w:sz w:val="22"/>
          <w:szCs w:val="22"/>
        </w:rPr>
        <w:t>09/2018</w:t>
      </w:r>
      <w:r w:rsidRPr="005D2D45">
        <w:rPr>
          <w:rFonts w:ascii="Verdana" w:hAnsi="Verdana" w:cs="Arial"/>
          <w:b/>
          <w:sz w:val="22"/>
          <w:szCs w:val="22"/>
        </w:rPr>
        <w:t xml:space="preserve"> – S</w:t>
      </w:r>
      <w:r w:rsidR="00D01009" w:rsidRPr="005D2D45">
        <w:rPr>
          <w:rFonts w:ascii="Verdana" w:hAnsi="Verdana" w:cs="Arial"/>
          <w:b/>
          <w:sz w:val="22"/>
          <w:szCs w:val="22"/>
        </w:rPr>
        <w:t>PSA</w:t>
      </w:r>
      <w:r w:rsidRPr="005D2D45">
        <w:rPr>
          <w:rFonts w:ascii="Verdana" w:hAnsi="Verdana" w:cs="Arial"/>
          <w:b/>
          <w:sz w:val="22"/>
          <w:szCs w:val="22"/>
        </w:rPr>
        <w:t>/SIAP</w:t>
      </w:r>
    </w:p>
    <w:p w:rsidR="005776B9" w:rsidRDefault="00641A77" w:rsidP="005D2D45">
      <w:pPr>
        <w:jc w:val="center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(Recife, </w:t>
      </w:r>
      <w:r w:rsidR="0055119B">
        <w:rPr>
          <w:rFonts w:ascii="Verdana" w:hAnsi="Verdana" w:cs="Arial"/>
          <w:sz w:val="22"/>
          <w:szCs w:val="22"/>
        </w:rPr>
        <w:t>16</w:t>
      </w:r>
      <w:r w:rsidRPr="005D2D45">
        <w:rPr>
          <w:rFonts w:ascii="Verdana" w:hAnsi="Verdana" w:cs="Arial"/>
          <w:sz w:val="22"/>
          <w:szCs w:val="22"/>
        </w:rPr>
        <w:t xml:space="preserve"> de </w:t>
      </w:r>
      <w:r w:rsidR="0055119B">
        <w:rPr>
          <w:rFonts w:ascii="Verdana" w:hAnsi="Verdana" w:cs="Arial"/>
          <w:sz w:val="22"/>
          <w:szCs w:val="22"/>
        </w:rPr>
        <w:t>abril</w:t>
      </w:r>
      <w:r w:rsidRPr="005D2D45">
        <w:rPr>
          <w:rFonts w:ascii="Verdana" w:hAnsi="Verdana" w:cs="Arial"/>
          <w:sz w:val="22"/>
          <w:szCs w:val="22"/>
        </w:rPr>
        <w:t xml:space="preserve"> de 2018</w:t>
      </w:r>
      <w:proofErr w:type="gramStart"/>
      <w:r w:rsidRPr="005D2D45">
        <w:rPr>
          <w:rFonts w:ascii="Verdana" w:hAnsi="Verdana" w:cs="Arial"/>
          <w:sz w:val="22"/>
          <w:szCs w:val="22"/>
        </w:rPr>
        <w:t>)</w:t>
      </w:r>
      <w:proofErr w:type="gramEnd"/>
    </w:p>
    <w:p w:rsidR="00641A77" w:rsidRPr="005D2D45" w:rsidRDefault="00641A77" w:rsidP="005D2D45">
      <w:pPr>
        <w:jc w:val="center"/>
        <w:rPr>
          <w:rFonts w:ascii="Verdana" w:hAnsi="Verdana" w:cs="Arial"/>
          <w:b/>
          <w:sz w:val="22"/>
          <w:szCs w:val="22"/>
        </w:rPr>
      </w:pPr>
    </w:p>
    <w:p w:rsidR="00C64CF7" w:rsidRPr="005D2D45" w:rsidRDefault="00C64CF7" w:rsidP="005D2D45">
      <w:pPr>
        <w:jc w:val="center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LOCAÇÃO DE CAÇAMBAS ESTACIONÁRIAS</w:t>
      </w:r>
      <w:r w:rsidR="00134724" w:rsidRPr="005D2D45">
        <w:rPr>
          <w:rFonts w:ascii="Verdana" w:hAnsi="Verdana" w:cs="Arial"/>
          <w:b/>
          <w:sz w:val="22"/>
          <w:szCs w:val="22"/>
        </w:rPr>
        <w:t xml:space="preserve"> </w:t>
      </w:r>
    </w:p>
    <w:p w:rsidR="0042571B" w:rsidRPr="005D2D45" w:rsidRDefault="0042571B" w:rsidP="005D2D45">
      <w:pPr>
        <w:jc w:val="center"/>
        <w:rPr>
          <w:rFonts w:ascii="Verdana" w:hAnsi="Verdana" w:cs="Arial"/>
          <w:sz w:val="22"/>
          <w:szCs w:val="22"/>
        </w:rPr>
      </w:pPr>
    </w:p>
    <w:p w:rsidR="0042571B" w:rsidRPr="005D2D45" w:rsidRDefault="0042571B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DA JUSTIFICATIVA</w:t>
      </w:r>
    </w:p>
    <w:p w:rsidR="00526A62" w:rsidRPr="005D2D45" w:rsidRDefault="00526A62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Necessidade de contratação de empresa para locação de caçambas estacionárias devido à demanda constante de remoção de entulhos resultantes de diversos serviços de manutenção predial e de pequenas reformas nos prédios desta Corte, bem como galhos, troncos e materiais provenientes dos serviços de manutenção dos jardins, inservíveis para o processo de compostagem;</w:t>
      </w:r>
    </w:p>
    <w:p w:rsidR="00C731FD" w:rsidRPr="005D2D45" w:rsidRDefault="00526A62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</w:t>
      </w:r>
      <w:r w:rsidR="00C731FD" w:rsidRPr="005D2D45">
        <w:rPr>
          <w:rFonts w:ascii="Verdana" w:hAnsi="Verdana" w:cs="Arial"/>
          <w:sz w:val="22"/>
          <w:szCs w:val="22"/>
        </w:rPr>
        <w:t xml:space="preserve">ecessidade de continuidade dos serviços objeto do Contrato nº </w:t>
      </w:r>
      <w:r w:rsidR="007B71B2" w:rsidRPr="005D2D45">
        <w:rPr>
          <w:rFonts w:ascii="Verdana" w:hAnsi="Verdana" w:cs="Arial"/>
          <w:sz w:val="22"/>
          <w:szCs w:val="22"/>
        </w:rPr>
        <w:t>26/2017</w:t>
      </w:r>
      <w:r w:rsidR="00C731FD" w:rsidRPr="005D2D45">
        <w:rPr>
          <w:rFonts w:ascii="Verdana" w:hAnsi="Verdana" w:cs="Arial"/>
          <w:sz w:val="22"/>
          <w:szCs w:val="22"/>
        </w:rPr>
        <w:t xml:space="preserve">, </w:t>
      </w:r>
      <w:r w:rsidRPr="005D2D45">
        <w:rPr>
          <w:rFonts w:ascii="Verdana" w:hAnsi="Verdana" w:cs="Arial"/>
          <w:sz w:val="22"/>
          <w:szCs w:val="22"/>
        </w:rPr>
        <w:t xml:space="preserve">com vigência até o dia </w:t>
      </w:r>
      <w:r w:rsidR="007B71B2" w:rsidRPr="005D2D45">
        <w:rPr>
          <w:rFonts w:ascii="Verdana" w:hAnsi="Verdana" w:cs="Arial"/>
          <w:sz w:val="22"/>
          <w:szCs w:val="22"/>
        </w:rPr>
        <w:t>07</w:t>
      </w:r>
      <w:r w:rsidRPr="005D2D45">
        <w:rPr>
          <w:rFonts w:ascii="Verdana" w:hAnsi="Verdana" w:cs="Arial"/>
          <w:sz w:val="22"/>
          <w:szCs w:val="22"/>
        </w:rPr>
        <w:t xml:space="preserve"> de ju</w:t>
      </w:r>
      <w:r w:rsidR="007B71B2" w:rsidRPr="005D2D45">
        <w:rPr>
          <w:rFonts w:ascii="Verdana" w:hAnsi="Verdana" w:cs="Arial"/>
          <w:sz w:val="22"/>
          <w:szCs w:val="22"/>
        </w:rPr>
        <w:t>lho de 2018</w:t>
      </w:r>
      <w:r w:rsidRPr="005D2D45">
        <w:rPr>
          <w:rFonts w:ascii="Verdana" w:hAnsi="Verdana" w:cs="Arial"/>
          <w:sz w:val="22"/>
          <w:szCs w:val="22"/>
        </w:rPr>
        <w:t xml:space="preserve">, </w:t>
      </w:r>
      <w:r w:rsidR="00C731FD" w:rsidRPr="005D2D45">
        <w:rPr>
          <w:rFonts w:ascii="Verdana" w:hAnsi="Verdana" w:cs="Arial"/>
          <w:sz w:val="22"/>
          <w:szCs w:val="22"/>
        </w:rPr>
        <w:t xml:space="preserve">decorrente do Pregão </w:t>
      </w:r>
      <w:r w:rsidRPr="005D2D45">
        <w:rPr>
          <w:rFonts w:ascii="Verdana" w:hAnsi="Verdana" w:cs="Arial"/>
          <w:sz w:val="22"/>
          <w:szCs w:val="22"/>
        </w:rPr>
        <w:t xml:space="preserve">Eletrônico </w:t>
      </w:r>
      <w:r w:rsidR="00C731FD" w:rsidRPr="005D2D45">
        <w:rPr>
          <w:rFonts w:ascii="Verdana" w:hAnsi="Verdana" w:cs="Arial"/>
          <w:sz w:val="22"/>
          <w:szCs w:val="22"/>
        </w:rPr>
        <w:t xml:space="preserve">nº </w:t>
      </w:r>
      <w:r w:rsidR="007B71B2" w:rsidRPr="005D2D45">
        <w:rPr>
          <w:rFonts w:ascii="Verdana" w:hAnsi="Verdana" w:cs="Arial"/>
          <w:sz w:val="22"/>
          <w:szCs w:val="22"/>
        </w:rPr>
        <w:t xml:space="preserve">10/2017 </w:t>
      </w:r>
      <w:r w:rsidRPr="005D2D45">
        <w:rPr>
          <w:rFonts w:ascii="Verdana" w:hAnsi="Verdana" w:cs="Arial"/>
          <w:sz w:val="22"/>
          <w:szCs w:val="22"/>
        </w:rPr>
        <w:t>(</w:t>
      </w:r>
      <w:r w:rsidR="00C731FD" w:rsidRPr="005D2D45">
        <w:rPr>
          <w:rFonts w:ascii="Verdana" w:hAnsi="Verdana" w:cs="Arial"/>
          <w:sz w:val="22"/>
          <w:szCs w:val="22"/>
        </w:rPr>
        <w:t xml:space="preserve">Processo Administrativo Virtual nº </w:t>
      </w:r>
      <w:r w:rsidR="006A31C5">
        <w:rPr>
          <w:rFonts w:ascii="Verdana" w:hAnsi="Verdana" w:cs="Arial"/>
          <w:sz w:val="22"/>
          <w:szCs w:val="22"/>
        </w:rPr>
        <w:t>0</w:t>
      </w:r>
      <w:r w:rsidRPr="005D2D45">
        <w:rPr>
          <w:rFonts w:ascii="Verdana" w:hAnsi="Verdana" w:cs="Arial"/>
          <w:sz w:val="22"/>
          <w:szCs w:val="22"/>
        </w:rPr>
        <w:t>0</w:t>
      </w:r>
      <w:r w:rsidR="007B71B2" w:rsidRPr="005D2D45">
        <w:rPr>
          <w:rFonts w:ascii="Verdana" w:hAnsi="Verdana" w:cs="Arial"/>
          <w:sz w:val="22"/>
          <w:szCs w:val="22"/>
        </w:rPr>
        <w:t>678</w:t>
      </w:r>
      <w:r w:rsidR="00C731FD" w:rsidRPr="005D2D45">
        <w:rPr>
          <w:rFonts w:ascii="Verdana" w:hAnsi="Verdana" w:cs="Arial"/>
          <w:sz w:val="22"/>
          <w:szCs w:val="22"/>
        </w:rPr>
        <w:t>/201</w:t>
      </w:r>
      <w:r w:rsidR="007B71B2" w:rsidRPr="005D2D45">
        <w:rPr>
          <w:rFonts w:ascii="Verdana" w:hAnsi="Verdana" w:cs="Arial"/>
          <w:sz w:val="22"/>
          <w:szCs w:val="22"/>
        </w:rPr>
        <w:t>6</w:t>
      </w:r>
      <w:r w:rsidRPr="005D2D45">
        <w:rPr>
          <w:rFonts w:ascii="Verdana" w:hAnsi="Verdana" w:cs="Arial"/>
          <w:sz w:val="22"/>
          <w:szCs w:val="22"/>
        </w:rPr>
        <w:t>).</w:t>
      </w:r>
    </w:p>
    <w:p w:rsidR="00E836CC" w:rsidRPr="005D2D45" w:rsidRDefault="00E836CC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z w:val="22"/>
          <w:szCs w:val="22"/>
        </w:rPr>
      </w:pPr>
    </w:p>
    <w:p w:rsidR="0042571B" w:rsidRPr="005D2D45" w:rsidRDefault="0042571B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DO OBJETO</w:t>
      </w:r>
    </w:p>
    <w:p w:rsidR="00E836CC" w:rsidRPr="005D2D45" w:rsidRDefault="002E63AA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Contratação de empresa especializada na prestação de serviços de </w:t>
      </w:r>
      <w:r w:rsidR="005B6A89" w:rsidRPr="005D2D45">
        <w:rPr>
          <w:rFonts w:ascii="Verdana" w:hAnsi="Verdana" w:cs="Arial"/>
          <w:b/>
          <w:sz w:val="22"/>
          <w:szCs w:val="22"/>
        </w:rPr>
        <w:t>locação de caçambas estacionárias</w:t>
      </w:r>
      <w:r w:rsidRPr="005D2D45">
        <w:rPr>
          <w:rFonts w:ascii="Verdana" w:hAnsi="Verdana" w:cs="Arial"/>
          <w:sz w:val="22"/>
          <w:szCs w:val="22"/>
        </w:rPr>
        <w:t xml:space="preserve">, com destinação final de resíduos comuns, </w:t>
      </w:r>
      <w:r w:rsidR="00470E75" w:rsidRPr="005D2D45">
        <w:rPr>
          <w:rFonts w:ascii="Verdana" w:hAnsi="Verdana" w:cs="Arial"/>
          <w:sz w:val="22"/>
          <w:szCs w:val="22"/>
        </w:rPr>
        <w:t xml:space="preserve">como os </w:t>
      </w:r>
      <w:r w:rsidR="00C0782E">
        <w:rPr>
          <w:rFonts w:ascii="Verdana" w:hAnsi="Verdana" w:cs="Arial"/>
          <w:sz w:val="22"/>
          <w:szCs w:val="22"/>
        </w:rPr>
        <w:t xml:space="preserve">provenientes de pequenas </w:t>
      </w:r>
      <w:r w:rsidRPr="005D2D45">
        <w:rPr>
          <w:rFonts w:ascii="Verdana" w:hAnsi="Verdana" w:cs="Arial"/>
          <w:sz w:val="22"/>
          <w:szCs w:val="22"/>
        </w:rPr>
        <w:t xml:space="preserve">obras e </w:t>
      </w:r>
      <w:r w:rsidR="00470E75" w:rsidRPr="005D2D45">
        <w:rPr>
          <w:rFonts w:ascii="Verdana" w:hAnsi="Verdana" w:cs="Arial"/>
          <w:sz w:val="22"/>
          <w:szCs w:val="22"/>
        </w:rPr>
        <w:t>serviços de jardinagem</w:t>
      </w:r>
      <w:r w:rsidR="00196E3C" w:rsidRPr="005D2D45">
        <w:rPr>
          <w:rFonts w:ascii="Verdana" w:hAnsi="Verdana" w:cs="Arial"/>
          <w:sz w:val="22"/>
          <w:szCs w:val="22"/>
        </w:rPr>
        <w:t>, para o</w:t>
      </w:r>
      <w:r w:rsidR="00470E75" w:rsidRPr="005D2D45">
        <w:rPr>
          <w:rFonts w:ascii="Verdana" w:hAnsi="Verdana" w:cs="Arial"/>
          <w:sz w:val="22"/>
          <w:szCs w:val="22"/>
        </w:rPr>
        <w:t xml:space="preserve"> Tribunal Regional Federal da 5ª Região</w:t>
      </w:r>
      <w:r w:rsidR="00E836CC" w:rsidRPr="005D2D45">
        <w:rPr>
          <w:rFonts w:ascii="Verdana" w:hAnsi="Verdana" w:cs="Arial"/>
          <w:sz w:val="22"/>
          <w:szCs w:val="22"/>
        </w:rPr>
        <w:t xml:space="preserve"> e</w:t>
      </w:r>
      <w:r w:rsidR="00267C07" w:rsidRPr="005D2D45">
        <w:rPr>
          <w:rFonts w:ascii="Verdana" w:hAnsi="Verdana" w:cs="Arial"/>
          <w:sz w:val="22"/>
          <w:szCs w:val="22"/>
        </w:rPr>
        <w:t xml:space="preserve"> compreende:</w:t>
      </w:r>
    </w:p>
    <w:tbl>
      <w:tblPr>
        <w:tblpPr w:leftFromText="141" w:rightFromText="141" w:vertAnchor="text" w:horzAnchor="margin" w:tblpY="28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65"/>
        <w:gridCol w:w="1134"/>
        <w:gridCol w:w="1134"/>
        <w:gridCol w:w="1276"/>
        <w:gridCol w:w="1278"/>
      </w:tblGrid>
      <w:tr w:rsidR="00EE0F15" w:rsidRPr="005D2D45" w:rsidTr="005D2D45">
        <w:trPr>
          <w:trHeight w:val="947"/>
        </w:trPr>
        <w:tc>
          <w:tcPr>
            <w:tcW w:w="709" w:type="dxa"/>
            <w:shd w:val="clear" w:color="auto" w:fill="CCCCCC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Item</w:t>
            </w:r>
          </w:p>
        </w:tc>
        <w:tc>
          <w:tcPr>
            <w:tcW w:w="3665" w:type="dxa"/>
            <w:shd w:val="clear" w:color="auto" w:fill="CCCCCC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Descrição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Código CATMAT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 xml:space="preserve">Unidade </w:t>
            </w:r>
          </w:p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proofErr w:type="gramStart"/>
            <w:r w:rsidRPr="005D2D45">
              <w:rPr>
                <w:rFonts w:ascii="Verdana" w:hAnsi="Verdana" w:cs="Arial"/>
                <w:b/>
                <w:szCs w:val="22"/>
              </w:rPr>
              <w:t>de</w:t>
            </w:r>
            <w:proofErr w:type="gramEnd"/>
            <w:r w:rsidRPr="005D2D45">
              <w:rPr>
                <w:rFonts w:ascii="Verdana" w:hAnsi="Verdana" w:cs="Arial"/>
                <w:b/>
                <w:szCs w:val="22"/>
              </w:rPr>
              <w:t xml:space="preserve"> </w:t>
            </w:r>
          </w:p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Medida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Qtd.</w:t>
            </w:r>
          </w:p>
          <w:p w:rsidR="00EE0F15" w:rsidRPr="005D2D45" w:rsidRDefault="00EE0F15" w:rsidP="005D2D45">
            <w:pPr>
              <w:ind w:right="72"/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Mensal estimada</w:t>
            </w:r>
          </w:p>
        </w:tc>
        <w:tc>
          <w:tcPr>
            <w:tcW w:w="1278" w:type="dxa"/>
            <w:shd w:val="clear" w:color="auto" w:fill="CCCCCC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 xml:space="preserve">Qtd. </w:t>
            </w:r>
          </w:p>
          <w:p w:rsidR="00EE0F15" w:rsidRPr="005D2D45" w:rsidRDefault="00EE0F15" w:rsidP="005D2D45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5D2D45">
              <w:rPr>
                <w:rFonts w:ascii="Verdana" w:hAnsi="Verdana" w:cs="Arial"/>
                <w:b/>
                <w:szCs w:val="22"/>
              </w:rPr>
              <w:t>Anual estimada</w:t>
            </w:r>
          </w:p>
        </w:tc>
      </w:tr>
      <w:tr w:rsidR="00EE0F15" w:rsidRPr="005D2D45" w:rsidTr="005D2D45">
        <w:trPr>
          <w:trHeight w:val="467"/>
        </w:trPr>
        <w:tc>
          <w:tcPr>
            <w:tcW w:w="709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proofErr w:type="gramStart"/>
            <w:r w:rsidRPr="005D2D45">
              <w:rPr>
                <w:rFonts w:ascii="Verdana" w:hAnsi="Verdana" w:cs="Arial"/>
                <w:szCs w:val="22"/>
              </w:rPr>
              <w:t>1</w:t>
            </w:r>
            <w:proofErr w:type="gramEnd"/>
          </w:p>
        </w:tc>
        <w:tc>
          <w:tcPr>
            <w:tcW w:w="3665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r w:rsidRPr="005D2D45">
              <w:rPr>
                <w:rFonts w:ascii="Verdana" w:hAnsi="Verdana" w:cs="Arial"/>
                <w:szCs w:val="22"/>
              </w:rPr>
              <w:t>Locação de Caçamba Estacionária</w:t>
            </w:r>
          </w:p>
        </w:tc>
        <w:tc>
          <w:tcPr>
            <w:tcW w:w="1134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r w:rsidRPr="005D2D45">
              <w:rPr>
                <w:rFonts w:ascii="Verdana" w:hAnsi="Verdana" w:cs="Arial"/>
                <w:szCs w:val="22"/>
              </w:rPr>
              <w:t>4049</w:t>
            </w:r>
          </w:p>
        </w:tc>
        <w:tc>
          <w:tcPr>
            <w:tcW w:w="1134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r w:rsidRPr="005D2D45">
              <w:rPr>
                <w:rFonts w:ascii="Verdana" w:hAnsi="Verdana" w:cs="Arial"/>
                <w:szCs w:val="22"/>
              </w:rPr>
              <w:t>Unidade</w:t>
            </w:r>
          </w:p>
        </w:tc>
        <w:tc>
          <w:tcPr>
            <w:tcW w:w="1276" w:type="dxa"/>
            <w:vAlign w:val="center"/>
          </w:tcPr>
          <w:p w:rsidR="00EE0F15" w:rsidRPr="005D2D45" w:rsidRDefault="00634478" w:rsidP="005D2D45">
            <w:pPr>
              <w:ind w:right="72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05</w:t>
            </w:r>
          </w:p>
        </w:tc>
        <w:tc>
          <w:tcPr>
            <w:tcW w:w="1278" w:type="dxa"/>
            <w:vAlign w:val="center"/>
          </w:tcPr>
          <w:p w:rsidR="00EE0F15" w:rsidRPr="005D2D45" w:rsidRDefault="00634478" w:rsidP="005D2D45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60</w:t>
            </w:r>
          </w:p>
        </w:tc>
      </w:tr>
      <w:tr w:rsidR="00EE0F15" w:rsidRPr="005D2D45" w:rsidTr="005D2D45">
        <w:trPr>
          <w:trHeight w:val="467"/>
        </w:trPr>
        <w:tc>
          <w:tcPr>
            <w:tcW w:w="709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proofErr w:type="gramStart"/>
            <w:r w:rsidRPr="005D2D45">
              <w:rPr>
                <w:rFonts w:ascii="Verdana" w:hAnsi="Verdana" w:cs="Arial"/>
                <w:szCs w:val="22"/>
              </w:rPr>
              <w:t>2</w:t>
            </w:r>
            <w:proofErr w:type="gramEnd"/>
          </w:p>
        </w:tc>
        <w:tc>
          <w:tcPr>
            <w:tcW w:w="3665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r w:rsidRPr="005D2D45">
              <w:rPr>
                <w:rFonts w:ascii="Verdana" w:hAnsi="Verdana" w:cs="Arial"/>
                <w:szCs w:val="22"/>
              </w:rPr>
              <w:t>Destinação final de resíduos</w:t>
            </w:r>
          </w:p>
        </w:tc>
        <w:tc>
          <w:tcPr>
            <w:tcW w:w="1134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r w:rsidRPr="005D2D45">
              <w:rPr>
                <w:rFonts w:ascii="Verdana" w:hAnsi="Verdana" w:cs="Arial"/>
                <w:szCs w:val="22"/>
              </w:rPr>
              <w:t>24708</w:t>
            </w:r>
          </w:p>
        </w:tc>
        <w:tc>
          <w:tcPr>
            <w:tcW w:w="1134" w:type="dxa"/>
            <w:vAlign w:val="center"/>
          </w:tcPr>
          <w:p w:rsidR="00EE0F15" w:rsidRPr="005D2D45" w:rsidRDefault="00EE0F15" w:rsidP="005D2D45">
            <w:pPr>
              <w:jc w:val="center"/>
              <w:rPr>
                <w:rFonts w:ascii="Verdana" w:hAnsi="Verdana" w:cs="Arial"/>
                <w:szCs w:val="22"/>
              </w:rPr>
            </w:pPr>
            <w:r w:rsidRPr="005D2D45">
              <w:rPr>
                <w:rFonts w:ascii="Verdana" w:hAnsi="Verdana" w:cs="Arial"/>
                <w:szCs w:val="22"/>
              </w:rPr>
              <w:t>Tonelada</w:t>
            </w:r>
          </w:p>
        </w:tc>
        <w:tc>
          <w:tcPr>
            <w:tcW w:w="1276" w:type="dxa"/>
            <w:vAlign w:val="center"/>
          </w:tcPr>
          <w:p w:rsidR="00EE0F15" w:rsidRPr="005D2D45" w:rsidRDefault="00634478" w:rsidP="005D2D45">
            <w:pPr>
              <w:ind w:right="72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10</w:t>
            </w:r>
          </w:p>
        </w:tc>
        <w:tc>
          <w:tcPr>
            <w:tcW w:w="1278" w:type="dxa"/>
            <w:vAlign w:val="center"/>
          </w:tcPr>
          <w:p w:rsidR="00EE0F15" w:rsidRPr="005D2D45" w:rsidRDefault="00634478" w:rsidP="005D2D45">
            <w:pPr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120</w:t>
            </w:r>
          </w:p>
        </w:tc>
      </w:tr>
    </w:tbl>
    <w:p w:rsidR="00E836CC" w:rsidRPr="005D2D45" w:rsidRDefault="00290099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Os serviços serão prestados </w:t>
      </w:r>
      <w:proofErr w:type="gramStart"/>
      <w:r w:rsidRPr="005D2D45">
        <w:rPr>
          <w:rFonts w:ascii="Verdana" w:hAnsi="Verdana" w:cs="Arial"/>
          <w:b/>
          <w:sz w:val="22"/>
          <w:szCs w:val="22"/>
        </w:rPr>
        <w:t>sob demanda</w:t>
      </w:r>
      <w:proofErr w:type="gramEnd"/>
      <w:r w:rsidRPr="005D2D45">
        <w:rPr>
          <w:rFonts w:ascii="Verdana" w:hAnsi="Verdana" w:cs="Arial"/>
          <w:sz w:val="22"/>
          <w:szCs w:val="22"/>
        </w:rPr>
        <w:t>, conforme condições estabelecidas neste Termo de Referência.</w:t>
      </w:r>
    </w:p>
    <w:p w:rsidR="00E836CC" w:rsidRPr="005D2D45" w:rsidRDefault="00E836CC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797EBD" w:rsidRPr="005D2D45" w:rsidRDefault="007E22AC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DO PRAZO DE VIGÊNCIA CONTRATUAL E DO INÍCIO DE EXECUÇÃO</w:t>
      </w:r>
    </w:p>
    <w:p w:rsidR="00E836CC" w:rsidRPr="005D2D45" w:rsidRDefault="001C2C50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 prazo de vigência do contrato a ser firmado deverá ser de </w:t>
      </w:r>
      <w:r w:rsidRPr="005D2D45">
        <w:rPr>
          <w:rFonts w:ascii="Verdana" w:hAnsi="Verdana" w:cs="Arial"/>
          <w:b/>
          <w:sz w:val="22"/>
          <w:szCs w:val="22"/>
        </w:rPr>
        <w:t>12 (doze) meses</w:t>
      </w:r>
      <w:r w:rsidR="00F34219" w:rsidRPr="005D2D45">
        <w:rPr>
          <w:rFonts w:ascii="Verdana" w:hAnsi="Verdana" w:cs="Arial"/>
          <w:sz w:val="22"/>
          <w:szCs w:val="22"/>
        </w:rPr>
        <w:t xml:space="preserve">, a contar da sua </w:t>
      </w:r>
      <w:r w:rsidR="001019C6" w:rsidRPr="005D2D45">
        <w:rPr>
          <w:rFonts w:ascii="Verdana" w:hAnsi="Verdana" w:cs="Arial"/>
          <w:sz w:val="22"/>
          <w:szCs w:val="22"/>
        </w:rPr>
        <w:t>assinatura</w:t>
      </w:r>
      <w:r w:rsidR="009969B9" w:rsidRPr="005D2D45">
        <w:rPr>
          <w:rStyle w:val="Refdenotaderodap"/>
          <w:rFonts w:ascii="Verdana" w:hAnsi="Verdana" w:cs="Arial"/>
          <w:sz w:val="22"/>
          <w:szCs w:val="22"/>
        </w:rPr>
        <w:footnoteReference w:id="1"/>
      </w:r>
      <w:r w:rsidR="00F34219" w:rsidRPr="005D2D45">
        <w:rPr>
          <w:rFonts w:ascii="Verdana" w:hAnsi="Verdana" w:cs="Arial"/>
          <w:sz w:val="22"/>
          <w:szCs w:val="22"/>
        </w:rPr>
        <w:t>;</w:t>
      </w:r>
    </w:p>
    <w:p w:rsidR="00196E3C" w:rsidRPr="005D2D45" w:rsidRDefault="007E22AC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lastRenderedPageBreak/>
        <w:t xml:space="preserve">A empresa </w:t>
      </w:r>
      <w:r w:rsidR="00560613" w:rsidRPr="005D2D45">
        <w:rPr>
          <w:rFonts w:ascii="Verdana" w:hAnsi="Verdana" w:cs="Arial"/>
          <w:sz w:val="22"/>
          <w:szCs w:val="22"/>
        </w:rPr>
        <w:t xml:space="preserve">CONTRATADA </w:t>
      </w:r>
      <w:r w:rsidR="00196E3C" w:rsidRPr="005D2D45">
        <w:rPr>
          <w:rFonts w:ascii="Verdana" w:hAnsi="Verdana" w:cs="Arial"/>
          <w:sz w:val="22"/>
          <w:szCs w:val="22"/>
        </w:rPr>
        <w:t xml:space="preserve">deverá estar apta a iniciar a execução dos serviços no </w:t>
      </w:r>
      <w:r w:rsidRPr="005D2D45">
        <w:rPr>
          <w:rFonts w:ascii="Verdana" w:hAnsi="Verdana" w:cs="Arial"/>
          <w:b/>
          <w:sz w:val="22"/>
          <w:szCs w:val="22"/>
        </w:rPr>
        <w:t xml:space="preserve">1º (primeiro) dia útil </w:t>
      </w:r>
      <w:r w:rsidR="00196E3C" w:rsidRPr="005D2D45">
        <w:rPr>
          <w:rFonts w:ascii="Verdana" w:hAnsi="Verdana" w:cs="Arial"/>
          <w:b/>
          <w:sz w:val="22"/>
          <w:szCs w:val="22"/>
        </w:rPr>
        <w:t>seguinte</w:t>
      </w:r>
      <w:r w:rsidR="00196E3C" w:rsidRPr="005D2D45">
        <w:rPr>
          <w:rFonts w:ascii="Verdana" w:hAnsi="Verdana" w:cs="Arial"/>
          <w:sz w:val="22"/>
          <w:szCs w:val="22"/>
        </w:rPr>
        <w:t xml:space="preserve"> ao da assinatura do instrumento contratual.</w:t>
      </w:r>
    </w:p>
    <w:p w:rsidR="00E836CC" w:rsidRPr="005D2D45" w:rsidRDefault="00E836CC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z w:val="22"/>
          <w:szCs w:val="22"/>
        </w:rPr>
      </w:pPr>
    </w:p>
    <w:p w:rsidR="0042571B" w:rsidRPr="005D2D45" w:rsidRDefault="0042571B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DAS CARACTERÍSTICAS DO SERVIÇO</w:t>
      </w:r>
      <w:r w:rsidRPr="005D2D45">
        <w:rPr>
          <w:rFonts w:ascii="Verdana" w:hAnsi="Verdana" w:cs="Arial"/>
          <w:b/>
          <w:sz w:val="22"/>
          <w:szCs w:val="22"/>
        </w:rPr>
        <w:tab/>
      </w:r>
    </w:p>
    <w:p w:rsidR="00E836CC" w:rsidRPr="005D2D45" w:rsidRDefault="0042571B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 empresa deverá enviar caçamba estacionária, quando solicitada pelo gestor do contrato</w:t>
      </w:r>
      <w:r w:rsidR="004278B8" w:rsidRPr="005D2D45">
        <w:rPr>
          <w:rFonts w:ascii="Verdana" w:hAnsi="Verdana" w:cs="Arial"/>
          <w:sz w:val="22"/>
          <w:szCs w:val="22"/>
        </w:rPr>
        <w:t>, no horário a combinar, conforme necessidade do Tribunal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4278B8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 prazo geral para a entrega da caçamba é de </w:t>
      </w:r>
      <w:r w:rsidR="005B6A89" w:rsidRPr="005D2D45">
        <w:rPr>
          <w:rFonts w:ascii="Verdana" w:hAnsi="Verdana" w:cs="Arial"/>
          <w:b/>
          <w:sz w:val="22"/>
          <w:szCs w:val="22"/>
        </w:rPr>
        <w:t>até 02 (dois) dias ú</w:t>
      </w:r>
      <w:r w:rsidR="005552B1" w:rsidRPr="005D2D45">
        <w:rPr>
          <w:rFonts w:ascii="Verdana" w:hAnsi="Verdana" w:cs="Arial"/>
          <w:b/>
          <w:sz w:val="22"/>
          <w:szCs w:val="22"/>
        </w:rPr>
        <w:t>teis</w:t>
      </w:r>
      <w:r w:rsidRPr="005D2D45">
        <w:rPr>
          <w:rFonts w:ascii="Verdana" w:hAnsi="Verdana" w:cs="Arial"/>
          <w:sz w:val="22"/>
          <w:szCs w:val="22"/>
        </w:rPr>
        <w:t xml:space="preserve"> </w:t>
      </w:r>
      <w:r w:rsidR="00196E3C" w:rsidRPr="005D2D45">
        <w:rPr>
          <w:rFonts w:ascii="Verdana" w:hAnsi="Verdana" w:cs="Arial"/>
          <w:sz w:val="22"/>
          <w:szCs w:val="22"/>
        </w:rPr>
        <w:t xml:space="preserve">contados </w:t>
      </w:r>
      <w:r w:rsidRPr="005D2D45">
        <w:rPr>
          <w:rFonts w:ascii="Verdana" w:hAnsi="Verdana" w:cs="Arial"/>
          <w:sz w:val="22"/>
          <w:szCs w:val="22"/>
        </w:rPr>
        <w:t xml:space="preserve">a partir da data do recebimento da Ordem de Serviço, enviada à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através de e-mail, pel</w:t>
      </w:r>
      <w:r w:rsidR="00470E75" w:rsidRPr="005D2D45">
        <w:rPr>
          <w:rFonts w:ascii="Verdana" w:hAnsi="Verdana" w:cs="Arial"/>
          <w:sz w:val="22"/>
          <w:szCs w:val="22"/>
        </w:rPr>
        <w:t>a Fiscalização</w:t>
      </w:r>
      <w:r w:rsidRPr="005D2D45">
        <w:rPr>
          <w:rFonts w:ascii="Verdana" w:hAnsi="Verdana" w:cs="Arial"/>
          <w:sz w:val="22"/>
          <w:szCs w:val="22"/>
        </w:rPr>
        <w:t xml:space="preserve"> do Contrato</w:t>
      </w:r>
      <w:r w:rsidR="00F34219" w:rsidRPr="005D2D45">
        <w:rPr>
          <w:rFonts w:ascii="Verdana" w:hAnsi="Verdana" w:cs="Arial"/>
          <w:sz w:val="22"/>
          <w:szCs w:val="22"/>
        </w:rPr>
        <w:t>;</w:t>
      </w:r>
      <w:r w:rsidRPr="005D2D45">
        <w:rPr>
          <w:rFonts w:ascii="Verdana" w:hAnsi="Verdana" w:cs="Arial"/>
          <w:sz w:val="22"/>
          <w:szCs w:val="22"/>
        </w:rPr>
        <w:t xml:space="preserve"> </w:t>
      </w:r>
    </w:p>
    <w:p w:rsidR="00E836CC" w:rsidRPr="005D2D45" w:rsidRDefault="004278B8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Excepcionalmente, prazo diverso pode ser estipulado, desde que justificado.</w:t>
      </w:r>
      <w:r w:rsidR="00A959E8" w:rsidRPr="005D2D45">
        <w:rPr>
          <w:rFonts w:ascii="Verdana" w:hAnsi="Verdana" w:cs="Arial"/>
          <w:bCs/>
          <w:sz w:val="22"/>
          <w:szCs w:val="22"/>
        </w:rPr>
        <w:t xml:space="preserve"> </w:t>
      </w:r>
    </w:p>
    <w:p w:rsidR="00E836CC" w:rsidRPr="005D2D45" w:rsidRDefault="005B6A89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 caçamba</w:t>
      </w:r>
      <w:r w:rsidR="00A959E8" w:rsidRPr="005D2D45">
        <w:rPr>
          <w:rFonts w:ascii="Verdana" w:hAnsi="Verdana" w:cs="Arial"/>
          <w:sz w:val="22"/>
          <w:szCs w:val="22"/>
        </w:rPr>
        <w:t xml:space="preserve"> deverá permanecer no local indicado pela </w:t>
      </w:r>
      <w:r w:rsidR="00183B25" w:rsidRPr="005D2D45">
        <w:rPr>
          <w:rFonts w:ascii="Verdana" w:hAnsi="Verdana" w:cs="Arial"/>
          <w:sz w:val="22"/>
          <w:szCs w:val="22"/>
        </w:rPr>
        <w:t>CONTRATANTE</w:t>
      </w:r>
      <w:r w:rsidR="00A959E8" w:rsidRPr="005D2D45">
        <w:rPr>
          <w:rFonts w:ascii="Verdana" w:hAnsi="Verdana" w:cs="Arial"/>
          <w:sz w:val="22"/>
          <w:szCs w:val="22"/>
        </w:rPr>
        <w:t xml:space="preserve"> </w:t>
      </w:r>
      <w:r w:rsidR="007B71B2" w:rsidRPr="005D2D45">
        <w:rPr>
          <w:rFonts w:ascii="Verdana" w:hAnsi="Verdana" w:cs="Arial"/>
          <w:sz w:val="22"/>
          <w:szCs w:val="22"/>
        </w:rPr>
        <w:t xml:space="preserve">até a solicitação de </w:t>
      </w:r>
      <w:r w:rsidR="00DB6FF9" w:rsidRPr="005D2D45">
        <w:rPr>
          <w:rFonts w:ascii="Verdana" w:hAnsi="Verdana" w:cs="Arial"/>
          <w:sz w:val="22"/>
          <w:szCs w:val="22"/>
        </w:rPr>
        <w:t xml:space="preserve">seu </w:t>
      </w:r>
      <w:r w:rsidR="007B71B2" w:rsidRPr="005D2D45">
        <w:rPr>
          <w:rFonts w:ascii="Verdana" w:hAnsi="Verdana" w:cs="Arial"/>
          <w:sz w:val="22"/>
          <w:szCs w:val="22"/>
        </w:rPr>
        <w:t>recolhimento</w:t>
      </w:r>
      <w:r w:rsidR="00DB6FF9" w:rsidRPr="005D2D45">
        <w:rPr>
          <w:rFonts w:ascii="Verdana" w:hAnsi="Verdana" w:cs="Arial"/>
          <w:sz w:val="22"/>
          <w:szCs w:val="22"/>
        </w:rPr>
        <w:t xml:space="preserve"> ou substituição, através de e-mail enviado pelo fiscal do Contrato (aproximadamente 01 semana)</w:t>
      </w:r>
      <w:r w:rsidR="00F34219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950DE5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 entrega da caçamba deve ser feita pela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com o acompanhamento do fiscal do Contrato ou seu substituto ou, na impossibilidade destes, por profissional indicado pelo diretor da SIAP;</w:t>
      </w:r>
    </w:p>
    <w:p w:rsidR="00E836CC" w:rsidRPr="005D2D45" w:rsidRDefault="0042571B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 medição do serviço será feita considerando a quantidade de </w:t>
      </w:r>
      <w:r w:rsidR="00470E75" w:rsidRPr="005D2D45">
        <w:rPr>
          <w:rFonts w:ascii="Verdana" w:hAnsi="Verdana" w:cs="Arial"/>
          <w:sz w:val="22"/>
          <w:szCs w:val="22"/>
        </w:rPr>
        <w:t>caçamba</w:t>
      </w:r>
      <w:r w:rsidR="00D06971" w:rsidRPr="005D2D45">
        <w:rPr>
          <w:rFonts w:ascii="Verdana" w:hAnsi="Verdana" w:cs="Arial"/>
          <w:sz w:val="22"/>
          <w:szCs w:val="22"/>
        </w:rPr>
        <w:t>s</w:t>
      </w:r>
      <w:r w:rsidR="00290099" w:rsidRPr="005D2D45">
        <w:rPr>
          <w:rFonts w:ascii="Verdana" w:hAnsi="Verdana" w:cs="Arial"/>
          <w:sz w:val="22"/>
          <w:szCs w:val="22"/>
        </w:rPr>
        <w:t xml:space="preserve"> locadas e d</w:t>
      </w:r>
      <w:r w:rsidRPr="005D2D45">
        <w:rPr>
          <w:rFonts w:ascii="Verdana" w:hAnsi="Verdana" w:cs="Arial"/>
          <w:sz w:val="22"/>
          <w:szCs w:val="22"/>
        </w:rPr>
        <w:t>e</w:t>
      </w:r>
      <w:r w:rsidR="00D06971" w:rsidRPr="005D2D45">
        <w:rPr>
          <w:rFonts w:ascii="Verdana" w:hAnsi="Verdana" w:cs="Arial"/>
          <w:sz w:val="22"/>
          <w:szCs w:val="22"/>
        </w:rPr>
        <w:t xml:space="preserve"> e</w:t>
      </w:r>
      <w:r w:rsidRPr="005D2D45">
        <w:rPr>
          <w:rFonts w:ascii="Verdana" w:hAnsi="Verdana" w:cs="Arial"/>
          <w:sz w:val="22"/>
          <w:szCs w:val="22"/>
        </w:rPr>
        <w:t>ntulho</w:t>
      </w:r>
      <w:r w:rsidR="00D06971" w:rsidRPr="005D2D45">
        <w:rPr>
          <w:rFonts w:ascii="Verdana" w:hAnsi="Verdana" w:cs="Arial"/>
          <w:sz w:val="22"/>
          <w:szCs w:val="22"/>
        </w:rPr>
        <w:t>s</w:t>
      </w:r>
      <w:r w:rsidRPr="005D2D45">
        <w:rPr>
          <w:rFonts w:ascii="Verdana" w:hAnsi="Verdana" w:cs="Arial"/>
          <w:sz w:val="22"/>
          <w:szCs w:val="22"/>
        </w:rPr>
        <w:t xml:space="preserve"> retirad</w:t>
      </w:r>
      <w:r w:rsidR="00D06971" w:rsidRPr="005D2D45">
        <w:rPr>
          <w:rFonts w:ascii="Verdana" w:hAnsi="Verdana" w:cs="Arial"/>
          <w:sz w:val="22"/>
          <w:szCs w:val="22"/>
        </w:rPr>
        <w:t>os</w:t>
      </w:r>
      <w:r w:rsidRPr="005D2D45">
        <w:rPr>
          <w:rFonts w:ascii="Verdana" w:hAnsi="Verdana" w:cs="Arial"/>
          <w:sz w:val="22"/>
          <w:szCs w:val="22"/>
        </w:rPr>
        <w:t xml:space="preserve"> no mês</w:t>
      </w:r>
      <w:r w:rsidR="00290099" w:rsidRPr="005D2D45">
        <w:rPr>
          <w:rFonts w:ascii="Verdana" w:hAnsi="Verdana" w:cs="Arial"/>
          <w:sz w:val="22"/>
          <w:szCs w:val="22"/>
        </w:rPr>
        <w:t>.</w:t>
      </w:r>
    </w:p>
    <w:p w:rsidR="000152D7" w:rsidRPr="005D2D45" w:rsidRDefault="000152D7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0152D7" w:rsidRPr="005D2D45" w:rsidRDefault="000152D7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bCs/>
          <w:strike/>
          <w:sz w:val="22"/>
          <w:szCs w:val="22"/>
        </w:rPr>
      </w:pPr>
      <w:r w:rsidRPr="005D2D45">
        <w:rPr>
          <w:rFonts w:ascii="Verdana" w:hAnsi="Verdana" w:cs="Arial"/>
          <w:b/>
          <w:bCs/>
          <w:sz w:val="22"/>
          <w:szCs w:val="22"/>
        </w:rPr>
        <w:t xml:space="preserve">DA </w:t>
      </w:r>
      <w:r w:rsidRPr="005D2D45">
        <w:rPr>
          <w:rFonts w:ascii="Verdana" w:hAnsi="Verdana" w:cs="Arial"/>
          <w:b/>
          <w:sz w:val="22"/>
          <w:szCs w:val="22"/>
        </w:rPr>
        <w:t>COMPOSIÇÃO</w:t>
      </w:r>
      <w:r w:rsidRPr="005D2D45">
        <w:rPr>
          <w:rFonts w:ascii="Verdana" w:hAnsi="Verdana" w:cs="Arial"/>
          <w:b/>
          <w:bCs/>
          <w:sz w:val="22"/>
          <w:szCs w:val="22"/>
        </w:rPr>
        <w:t xml:space="preserve"> DO</w:t>
      </w:r>
      <w:r w:rsidR="00A4202A" w:rsidRPr="005D2D45">
        <w:rPr>
          <w:rFonts w:ascii="Verdana" w:hAnsi="Verdana" w:cs="Arial"/>
          <w:b/>
          <w:bCs/>
          <w:sz w:val="22"/>
          <w:szCs w:val="22"/>
        </w:rPr>
        <w:t>S</w:t>
      </w:r>
      <w:r w:rsidRPr="005D2D45">
        <w:rPr>
          <w:rFonts w:ascii="Verdana" w:hAnsi="Verdana" w:cs="Arial"/>
          <w:b/>
          <w:bCs/>
          <w:sz w:val="22"/>
          <w:szCs w:val="22"/>
        </w:rPr>
        <w:t xml:space="preserve"> VALOR</w:t>
      </w:r>
      <w:r w:rsidR="00A4202A" w:rsidRPr="005D2D45">
        <w:rPr>
          <w:rFonts w:ascii="Verdana" w:hAnsi="Verdana" w:cs="Arial"/>
          <w:b/>
          <w:bCs/>
          <w:sz w:val="22"/>
          <w:szCs w:val="22"/>
        </w:rPr>
        <w:t>ES</w:t>
      </w:r>
      <w:r w:rsidRPr="005D2D45">
        <w:rPr>
          <w:rFonts w:ascii="Verdana" w:hAnsi="Verdana" w:cs="Arial"/>
          <w:b/>
          <w:bCs/>
          <w:sz w:val="22"/>
          <w:szCs w:val="22"/>
        </w:rPr>
        <w:t xml:space="preserve"> UNITÁRIO</w:t>
      </w:r>
      <w:r w:rsidR="00A4202A" w:rsidRPr="005D2D45">
        <w:rPr>
          <w:rFonts w:ascii="Verdana" w:hAnsi="Verdana" w:cs="Arial"/>
          <w:b/>
          <w:bCs/>
          <w:sz w:val="22"/>
          <w:szCs w:val="22"/>
        </w:rPr>
        <w:t>S DOS SERVIÇOS</w:t>
      </w:r>
    </w:p>
    <w:p w:rsidR="00E836CC" w:rsidRPr="005D2D45" w:rsidRDefault="000152D7" w:rsidP="005D2D45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valor unitário a ser cobrado por cada caçamba deve incluir:</w:t>
      </w:r>
    </w:p>
    <w:p w:rsidR="00E836CC" w:rsidRPr="005D2D45" w:rsidRDefault="000152D7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Transporte da caçamba vazia até este Tribunal;</w:t>
      </w:r>
    </w:p>
    <w:p w:rsidR="00E836CC" w:rsidRPr="005D2D45" w:rsidRDefault="000152D7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Estadia desta pelo tempo necessário; </w:t>
      </w:r>
      <w:proofErr w:type="gramStart"/>
      <w:r w:rsidRPr="005D2D45">
        <w:rPr>
          <w:rFonts w:ascii="Verdana" w:hAnsi="Verdana" w:cs="Arial"/>
          <w:sz w:val="22"/>
          <w:szCs w:val="22"/>
        </w:rPr>
        <w:t>e</w:t>
      </w:r>
      <w:proofErr w:type="gramEnd"/>
    </w:p>
    <w:p w:rsidR="00E836CC" w:rsidRPr="005D2D45" w:rsidRDefault="005E7F9F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Remoção e</w:t>
      </w:r>
      <w:r w:rsidR="000152D7" w:rsidRPr="005D2D45">
        <w:rPr>
          <w:rFonts w:ascii="Verdana" w:hAnsi="Verdana" w:cs="Arial"/>
          <w:sz w:val="22"/>
          <w:szCs w:val="22"/>
        </w:rPr>
        <w:t xml:space="preserve"> transporte da caçamba carregada</w:t>
      </w:r>
      <w:r w:rsidR="00E836CC" w:rsidRPr="005D2D45">
        <w:rPr>
          <w:rFonts w:ascii="Verdana" w:hAnsi="Verdana" w:cs="Arial"/>
          <w:sz w:val="22"/>
          <w:szCs w:val="22"/>
        </w:rPr>
        <w:t>;</w:t>
      </w:r>
    </w:p>
    <w:p w:rsidR="005E7F9F" w:rsidRPr="005D2D45" w:rsidRDefault="005E7F9F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Descarrego do material recolhido em local</w:t>
      </w:r>
      <w:r w:rsidR="007E57E8" w:rsidRPr="005D2D45">
        <w:rPr>
          <w:rFonts w:ascii="Verdana" w:hAnsi="Verdana" w:cs="Arial"/>
          <w:sz w:val="22"/>
          <w:szCs w:val="22"/>
        </w:rPr>
        <w:t xml:space="preserve"> apropriado.</w:t>
      </w:r>
    </w:p>
    <w:p w:rsidR="00E836CC" w:rsidRPr="005D2D45" w:rsidRDefault="00950DE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valor unitário a ser cobrado por cada tonelada deve incluir a destinação final adequada para cada tipo resíduo</w:t>
      </w:r>
      <w:r w:rsidR="00996B7C" w:rsidRPr="005D2D45">
        <w:rPr>
          <w:rFonts w:ascii="Verdana" w:hAnsi="Verdana" w:cs="Arial"/>
          <w:sz w:val="22"/>
          <w:szCs w:val="22"/>
        </w:rPr>
        <w:t xml:space="preserve">, consoante </w:t>
      </w:r>
      <w:proofErr w:type="gramStart"/>
      <w:r w:rsidR="001019C6" w:rsidRPr="005D2D45">
        <w:rPr>
          <w:rFonts w:ascii="Verdana" w:hAnsi="Verdana" w:cs="Arial"/>
          <w:sz w:val="22"/>
          <w:szCs w:val="22"/>
        </w:rPr>
        <w:t>as</w:t>
      </w:r>
      <w:proofErr w:type="gramEnd"/>
      <w:r w:rsidR="001019C6" w:rsidRPr="005D2D45">
        <w:rPr>
          <w:rFonts w:ascii="Verdana" w:hAnsi="Verdana" w:cs="Arial"/>
          <w:sz w:val="22"/>
          <w:szCs w:val="22"/>
        </w:rPr>
        <w:t xml:space="preserve"> diretrizes, critérios e procedimentos para a gestão dos resíduos da construção civil estabelecidos na Lei nº 12.305, de 2010 – Política Nacional de Resíduos Sólidos, Resolução nº 307, de 05/07/2002, do Conselho Nacional de Meio Ambiente – CONAMA, e Instrução Normativa SLTI/MPOG n° 1, de 19/01/2010</w:t>
      </w:r>
      <w:r w:rsidR="00641A77">
        <w:rPr>
          <w:rFonts w:ascii="Verdana" w:hAnsi="Verdana" w:cs="Arial"/>
          <w:sz w:val="22"/>
          <w:szCs w:val="22"/>
        </w:rPr>
        <w:t>;</w:t>
      </w:r>
    </w:p>
    <w:p w:rsidR="001019C6" w:rsidRPr="005D2D45" w:rsidRDefault="001019C6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Em nenhuma hipótese a Contratada poderá dispor os resíduos originários da contratação </w:t>
      </w:r>
      <w:r w:rsidR="00996B7C" w:rsidRPr="005D2D45">
        <w:rPr>
          <w:rFonts w:ascii="Verdana" w:hAnsi="Verdana" w:cs="Arial"/>
          <w:sz w:val="22"/>
          <w:szCs w:val="22"/>
        </w:rPr>
        <w:t xml:space="preserve">em </w:t>
      </w:r>
      <w:r w:rsidRPr="005D2D45">
        <w:rPr>
          <w:rFonts w:ascii="Verdana" w:hAnsi="Verdana" w:cs="Arial"/>
          <w:sz w:val="22"/>
          <w:szCs w:val="22"/>
        </w:rPr>
        <w:t>aterros de resíduos domiciliares, áreas de “bota fora”, encostas, corpos d´água, lotes vagos e áreas protegidas por Lei, bem como em áreas não licenciadas.</w:t>
      </w:r>
    </w:p>
    <w:p w:rsidR="001019C6" w:rsidRPr="005D2D45" w:rsidRDefault="001019C6" w:rsidP="005D2D45">
      <w:pPr>
        <w:pStyle w:val="Corpodetexto"/>
        <w:spacing w:before="120" w:after="120"/>
        <w:ind w:left="1418"/>
        <w:jc w:val="both"/>
        <w:rPr>
          <w:rFonts w:ascii="Verdana" w:hAnsi="Verdana" w:cs="Arial"/>
          <w:sz w:val="22"/>
          <w:szCs w:val="22"/>
        </w:rPr>
      </w:pPr>
    </w:p>
    <w:p w:rsidR="00785C68" w:rsidRPr="005D2D45" w:rsidRDefault="00785C68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lastRenderedPageBreak/>
        <w:t>DA ESTIMATIVA DE PREÇOS</w:t>
      </w:r>
    </w:p>
    <w:p w:rsidR="00E836CC" w:rsidRPr="005D2D45" w:rsidRDefault="00950DE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 valor estimado será o preço médio do Mapa Comparativo de Preços, que será elaborado pela Subsecretaria de Material e Patrimônio deste Tribunal, levando-se em conta o valor unitário da locação da caçamba </w:t>
      </w:r>
      <w:r w:rsidR="00E836CC" w:rsidRPr="005D2D45">
        <w:rPr>
          <w:rFonts w:ascii="Verdana" w:hAnsi="Verdana" w:cs="Arial"/>
          <w:sz w:val="22"/>
          <w:szCs w:val="22"/>
        </w:rPr>
        <w:t xml:space="preserve">(incluindo sua entrega, permanência e retirada) </w:t>
      </w:r>
      <w:r w:rsidRPr="005D2D45">
        <w:rPr>
          <w:rFonts w:ascii="Verdana" w:hAnsi="Verdana" w:cs="Arial"/>
          <w:sz w:val="22"/>
          <w:szCs w:val="22"/>
        </w:rPr>
        <w:t xml:space="preserve">e o valor unitário por tonelada para destinação dos resíduos. </w:t>
      </w:r>
    </w:p>
    <w:p w:rsidR="000152D7" w:rsidRPr="005D2D45" w:rsidRDefault="000152D7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923B59" w:rsidRPr="005D2D45" w:rsidRDefault="00923B59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bCs/>
          <w:strike/>
          <w:sz w:val="22"/>
          <w:szCs w:val="22"/>
        </w:rPr>
      </w:pPr>
      <w:r w:rsidRPr="005D2D45">
        <w:rPr>
          <w:rFonts w:ascii="Verdana" w:hAnsi="Verdana" w:cs="Arial"/>
          <w:b/>
          <w:bCs/>
          <w:sz w:val="22"/>
          <w:szCs w:val="22"/>
        </w:rPr>
        <w:t xml:space="preserve">DA </w:t>
      </w:r>
      <w:r w:rsidRPr="005D2D45">
        <w:rPr>
          <w:rFonts w:ascii="Verdana" w:hAnsi="Verdana" w:cs="Arial"/>
          <w:b/>
          <w:sz w:val="22"/>
          <w:szCs w:val="22"/>
        </w:rPr>
        <w:t>QUALIFICAÇÃO</w:t>
      </w:r>
      <w:r w:rsidRPr="005D2D45">
        <w:rPr>
          <w:rFonts w:ascii="Verdana" w:hAnsi="Verdana" w:cs="Arial"/>
          <w:b/>
          <w:bCs/>
          <w:sz w:val="22"/>
          <w:szCs w:val="22"/>
        </w:rPr>
        <w:t xml:space="preserve"> TÉCNICA </w:t>
      </w:r>
    </w:p>
    <w:p w:rsidR="00E836CC" w:rsidRPr="005D2D45" w:rsidRDefault="00923B5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Para fins de participação na presente contratação ser</w:t>
      </w:r>
      <w:r w:rsidR="007E57E8" w:rsidRPr="005D2D45">
        <w:rPr>
          <w:rFonts w:ascii="Verdana" w:hAnsi="Verdana" w:cs="Arial"/>
          <w:sz w:val="22"/>
          <w:szCs w:val="22"/>
        </w:rPr>
        <w:t>ão</w:t>
      </w:r>
      <w:r w:rsidRPr="005D2D45">
        <w:rPr>
          <w:rFonts w:ascii="Verdana" w:hAnsi="Verdana" w:cs="Arial"/>
          <w:sz w:val="22"/>
          <w:szCs w:val="22"/>
        </w:rPr>
        <w:t xml:space="preserve"> exigida</w:t>
      </w:r>
      <w:r w:rsidR="007E57E8" w:rsidRPr="005D2D45">
        <w:rPr>
          <w:rFonts w:ascii="Verdana" w:hAnsi="Verdana" w:cs="Arial"/>
          <w:sz w:val="22"/>
          <w:szCs w:val="22"/>
        </w:rPr>
        <w:t>s</w:t>
      </w:r>
      <w:r w:rsidRPr="005D2D45">
        <w:rPr>
          <w:rFonts w:ascii="Verdana" w:hAnsi="Verdana" w:cs="Arial"/>
          <w:sz w:val="22"/>
          <w:szCs w:val="22"/>
        </w:rPr>
        <w:t xml:space="preserve"> das empresas interessadas as seguintes comprovações:</w:t>
      </w:r>
    </w:p>
    <w:p w:rsidR="00E836CC" w:rsidRPr="005D2D45" w:rsidRDefault="00923B59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Apresentar licença de operação emitida pela CPRH, conf</w:t>
      </w:r>
      <w:r w:rsidR="005B2EE8" w:rsidRPr="005D2D45">
        <w:rPr>
          <w:rFonts w:ascii="Verdana" w:hAnsi="Verdana" w:cs="Arial"/>
          <w:sz w:val="22"/>
          <w:szCs w:val="22"/>
        </w:rPr>
        <w:t>orme Lei Estadual nº 14.249/201</w:t>
      </w:r>
      <w:r w:rsidRPr="005D2D45">
        <w:rPr>
          <w:rFonts w:ascii="Verdana" w:hAnsi="Verdana" w:cs="Arial"/>
          <w:sz w:val="22"/>
          <w:szCs w:val="22"/>
        </w:rPr>
        <w:t>0 e suas alterações;</w:t>
      </w:r>
    </w:p>
    <w:p w:rsidR="00E836CC" w:rsidRPr="005D2D45" w:rsidRDefault="00923B59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Apresentar licença de operação emitida pelo EMLURB, </w:t>
      </w:r>
      <w:r w:rsidR="005B2EE8" w:rsidRPr="005D2D45">
        <w:rPr>
          <w:rFonts w:ascii="Verdana" w:hAnsi="Verdana" w:cs="Arial"/>
          <w:sz w:val="22"/>
          <w:szCs w:val="22"/>
        </w:rPr>
        <w:t>conforme Lei Municipal nº 16.377/98 e Decreto Municipal nº 18.082/98;</w:t>
      </w:r>
    </w:p>
    <w:p w:rsidR="00E836CC" w:rsidRPr="005D2D45" w:rsidRDefault="00950DE5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Apresentar, no mínimo, 01 (um) atestado de capacidade técnica em nome da </w:t>
      </w:r>
      <w:r w:rsidR="005B2EE8" w:rsidRPr="005D2D45">
        <w:rPr>
          <w:rFonts w:ascii="Verdana" w:hAnsi="Verdana" w:cs="Arial"/>
          <w:sz w:val="22"/>
          <w:szCs w:val="22"/>
        </w:rPr>
        <w:t>licitante</w:t>
      </w:r>
      <w:r w:rsidRPr="005D2D45">
        <w:rPr>
          <w:rFonts w:ascii="Verdana" w:hAnsi="Verdana" w:cs="Arial"/>
          <w:sz w:val="22"/>
          <w:szCs w:val="22"/>
        </w:rPr>
        <w:t xml:space="preserve">, pessoa </w:t>
      </w:r>
      <w:proofErr w:type="gramStart"/>
      <w:r w:rsidRPr="005D2D45">
        <w:rPr>
          <w:rFonts w:ascii="Verdana" w:hAnsi="Verdana" w:cs="Arial"/>
          <w:sz w:val="22"/>
          <w:szCs w:val="22"/>
        </w:rPr>
        <w:t xml:space="preserve">jurídica, e fornecido por pessoa jurídica de direito público ou privado, que comprove aptidão da licitante para desempenho de atividade pertinente e compatível em características, </w:t>
      </w:r>
      <w:r w:rsidR="005B2EE8" w:rsidRPr="005D2D45">
        <w:rPr>
          <w:rFonts w:ascii="Verdana" w:hAnsi="Verdana" w:cs="Arial"/>
          <w:sz w:val="22"/>
          <w:szCs w:val="22"/>
        </w:rPr>
        <w:t>quantidades e prazos com o objeto da licitação</w:t>
      </w:r>
      <w:proofErr w:type="gramEnd"/>
      <w:r w:rsidR="00225589" w:rsidRPr="005D2D45">
        <w:rPr>
          <w:rFonts w:ascii="Verdana" w:hAnsi="Verdana" w:cs="Arial"/>
          <w:sz w:val="22"/>
          <w:szCs w:val="22"/>
        </w:rPr>
        <w:t>.</w:t>
      </w:r>
    </w:p>
    <w:p w:rsidR="009F75B0" w:rsidRPr="005D2D45" w:rsidRDefault="009F75B0" w:rsidP="002606FA">
      <w:pPr>
        <w:pStyle w:val="Recuodecorpodetexto"/>
        <w:numPr>
          <w:ilvl w:val="3"/>
          <w:numId w:val="1"/>
        </w:numPr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Para efeito dessa compatibilização, c</w:t>
      </w:r>
      <w:r w:rsidR="00996B7C" w:rsidRPr="005D2D45">
        <w:rPr>
          <w:rFonts w:ascii="Verdana" w:hAnsi="Verdana" w:cs="Arial"/>
          <w:sz w:val="22"/>
          <w:szCs w:val="22"/>
        </w:rPr>
        <w:t>onsidera-se relevante a seguinte parcela do objeto:</w:t>
      </w:r>
    </w:p>
    <w:tbl>
      <w:tblPr>
        <w:tblW w:w="793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328"/>
        <w:gridCol w:w="1201"/>
        <w:gridCol w:w="1275"/>
      </w:tblGrid>
      <w:tr w:rsidR="009F75B0" w:rsidRPr="00641A77" w:rsidTr="002606FA"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</w:tcPr>
          <w:p w:rsidR="009F75B0" w:rsidRPr="00641A77" w:rsidRDefault="009F75B0" w:rsidP="00641A77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641A77">
              <w:rPr>
                <w:rFonts w:ascii="Verdana" w:hAnsi="Verdana" w:cs="Arial"/>
                <w:b/>
                <w:szCs w:val="22"/>
              </w:rPr>
              <w:t>Item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C0C0C0"/>
          </w:tcPr>
          <w:p w:rsidR="009F75B0" w:rsidRPr="00641A77" w:rsidRDefault="009F75B0" w:rsidP="00641A77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641A77">
              <w:rPr>
                <w:rFonts w:ascii="Verdana" w:hAnsi="Verdana" w:cs="Arial"/>
                <w:b/>
                <w:szCs w:val="22"/>
              </w:rPr>
              <w:t>Serviço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C0C0C0"/>
          </w:tcPr>
          <w:p w:rsidR="009F75B0" w:rsidRPr="00641A77" w:rsidRDefault="009F75B0" w:rsidP="00641A77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641A77">
              <w:rPr>
                <w:rFonts w:ascii="Verdana" w:hAnsi="Verdana" w:cs="Arial"/>
                <w:b/>
                <w:szCs w:val="22"/>
              </w:rPr>
              <w:t>Unid.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</w:tcPr>
          <w:p w:rsidR="009F75B0" w:rsidRPr="00641A77" w:rsidRDefault="009F75B0" w:rsidP="00641A77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641A77">
              <w:rPr>
                <w:rFonts w:ascii="Verdana" w:hAnsi="Verdana" w:cs="Arial"/>
                <w:b/>
                <w:szCs w:val="22"/>
              </w:rPr>
              <w:t>Quant.</w:t>
            </w:r>
          </w:p>
        </w:tc>
      </w:tr>
      <w:tr w:rsidR="009F75B0" w:rsidRPr="00641A77" w:rsidTr="00260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0" w:rsidRPr="00641A77" w:rsidRDefault="009F75B0" w:rsidP="00641A77">
            <w:pPr>
              <w:jc w:val="center"/>
              <w:rPr>
                <w:rFonts w:ascii="Verdana" w:hAnsi="Verdana" w:cs="Arial"/>
                <w:szCs w:val="22"/>
              </w:rPr>
            </w:pPr>
            <w:r w:rsidRPr="00641A77">
              <w:rPr>
                <w:rFonts w:ascii="Verdana" w:hAnsi="Verdana" w:cs="Arial"/>
                <w:szCs w:val="22"/>
              </w:rPr>
              <w:t>01.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0" w:rsidRPr="00641A77" w:rsidRDefault="00F972C9" w:rsidP="00641A77">
            <w:pPr>
              <w:jc w:val="both"/>
              <w:rPr>
                <w:rFonts w:ascii="Verdana" w:hAnsi="Verdana" w:cs="Arial"/>
                <w:bCs/>
                <w:snapToGrid w:val="0"/>
                <w:szCs w:val="22"/>
              </w:rPr>
            </w:pPr>
            <w:r w:rsidRPr="00641A77">
              <w:rPr>
                <w:rFonts w:ascii="Verdana" w:hAnsi="Verdana" w:cs="Arial"/>
                <w:szCs w:val="22"/>
              </w:rPr>
              <w:t>Locação de caçambas estacionárias, com destinação final de resíduos comuns, por ano.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0" w:rsidRPr="00641A77" w:rsidRDefault="009F75B0" w:rsidP="00641A77">
            <w:pPr>
              <w:jc w:val="center"/>
              <w:rPr>
                <w:rFonts w:ascii="Verdana" w:hAnsi="Verdana" w:cs="Arial"/>
                <w:bCs/>
                <w:snapToGrid w:val="0"/>
                <w:szCs w:val="22"/>
              </w:rPr>
            </w:pPr>
            <w:proofErr w:type="gramStart"/>
            <w:r w:rsidRPr="00641A77">
              <w:rPr>
                <w:rFonts w:ascii="Verdana" w:hAnsi="Verdana" w:cs="Arial"/>
                <w:bCs/>
                <w:snapToGrid w:val="0"/>
                <w:szCs w:val="22"/>
              </w:rPr>
              <w:t>un.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5B0" w:rsidRPr="00641A77" w:rsidRDefault="00FB5D1D" w:rsidP="00641A77">
            <w:pPr>
              <w:jc w:val="center"/>
              <w:rPr>
                <w:rFonts w:ascii="Verdana" w:hAnsi="Verdana" w:cs="Arial"/>
                <w:bCs/>
                <w:snapToGrid w:val="0"/>
                <w:szCs w:val="22"/>
              </w:rPr>
            </w:pPr>
            <w:r w:rsidRPr="00641A77">
              <w:rPr>
                <w:rFonts w:ascii="Verdana" w:hAnsi="Verdana" w:cs="Arial"/>
                <w:bCs/>
                <w:snapToGrid w:val="0"/>
                <w:szCs w:val="22"/>
              </w:rPr>
              <w:t>24</w:t>
            </w:r>
          </w:p>
        </w:tc>
      </w:tr>
    </w:tbl>
    <w:p w:rsidR="00E836CC" w:rsidRPr="005D2D45" w:rsidRDefault="00B7356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Nos casos em que as empresas participantes do certame não estejam submetidas </w:t>
      </w:r>
      <w:r w:rsidR="009D4728" w:rsidRPr="005D2D45">
        <w:rPr>
          <w:rFonts w:ascii="Verdana" w:hAnsi="Verdana" w:cs="Arial"/>
          <w:sz w:val="22"/>
          <w:szCs w:val="22"/>
        </w:rPr>
        <w:t>às</w:t>
      </w:r>
      <w:r w:rsidRPr="005D2D45">
        <w:rPr>
          <w:rFonts w:ascii="Verdana" w:hAnsi="Verdana" w:cs="Arial"/>
          <w:sz w:val="22"/>
          <w:szCs w:val="22"/>
        </w:rPr>
        <w:t xml:space="preserve"> legislações de que tratam os </w:t>
      </w:r>
      <w:r w:rsidR="005B6A89" w:rsidRPr="005D2D45">
        <w:rPr>
          <w:rFonts w:ascii="Verdana" w:hAnsi="Verdana" w:cs="Arial"/>
          <w:b/>
          <w:sz w:val="22"/>
          <w:szCs w:val="22"/>
        </w:rPr>
        <w:t xml:space="preserve">subitens </w:t>
      </w:r>
      <w:r w:rsidR="009D4728" w:rsidRPr="005D2D45">
        <w:rPr>
          <w:rFonts w:ascii="Verdana" w:hAnsi="Verdana" w:cs="Arial"/>
          <w:b/>
          <w:sz w:val="22"/>
          <w:szCs w:val="22"/>
        </w:rPr>
        <w:t>7.1.1.</w:t>
      </w:r>
      <w:r w:rsidR="005B6A89" w:rsidRPr="005D2D45">
        <w:rPr>
          <w:rFonts w:ascii="Verdana" w:hAnsi="Verdana" w:cs="Arial"/>
          <w:b/>
          <w:sz w:val="22"/>
          <w:szCs w:val="22"/>
        </w:rPr>
        <w:t xml:space="preserve"> </w:t>
      </w:r>
      <w:proofErr w:type="gramStart"/>
      <w:r w:rsidR="005B6A89" w:rsidRPr="005D2D45">
        <w:rPr>
          <w:rFonts w:ascii="Verdana" w:hAnsi="Verdana" w:cs="Arial"/>
          <w:sz w:val="22"/>
          <w:szCs w:val="22"/>
        </w:rPr>
        <w:t>e</w:t>
      </w:r>
      <w:proofErr w:type="gramEnd"/>
      <w:r w:rsidR="005B6A89" w:rsidRPr="005D2D45">
        <w:rPr>
          <w:rFonts w:ascii="Verdana" w:hAnsi="Verdana" w:cs="Arial"/>
          <w:b/>
          <w:sz w:val="22"/>
          <w:szCs w:val="22"/>
        </w:rPr>
        <w:t xml:space="preserve"> </w:t>
      </w:r>
      <w:r w:rsidR="009D4728" w:rsidRPr="005D2D45">
        <w:rPr>
          <w:rFonts w:ascii="Verdana" w:hAnsi="Verdana" w:cs="Arial"/>
          <w:b/>
          <w:sz w:val="22"/>
          <w:szCs w:val="22"/>
        </w:rPr>
        <w:t>7.1.</w:t>
      </w:r>
      <w:r w:rsidR="005B6A89" w:rsidRPr="005D2D45">
        <w:rPr>
          <w:rFonts w:ascii="Verdana" w:hAnsi="Verdana" w:cs="Arial"/>
          <w:b/>
          <w:sz w:val="22"/>
          <w:szCs w:val="22"/>
        </w:rPr>
        <w:t>2.</w:t>
      </w:r>
      <w:r w:rsidRPr="005D2D45">
        <w:rPr>
          <w:rFonts w:ascii="Verdana" w:hAnsi="Verdana" w:cs="Arial"/>
          <w:sz w:val="22"/>
          <w:szCs w:val="22"/>
        </w:rPr>
        <w:t>, estas deverão apresentar as licenças de operações equivalentes, com as devidas comprovações legais.</w:t>
      </w:r>
    </w:p>
    <w:p w:rsidR="00E836CC" w:rsidRPr="005D2D45" w:rsidRDefault="00E836CC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z w:val="22"/>
          <w:szCs w:val="22"/>
        </w:rPr>
      </w:pPr>
    </w:p>
    <w:p w:rsidR="000D1EFF" w:rsidRPr="005D2D45" w:rsidRDefault="000D1EFF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DA GESTÃO E DA FISCALIZAÇÃO</w:t>
      </w:r>
      <w:r w:rsidR="009331B2" w:rsidRPr="005D2D45">
        <w:rPr>
          <w:rFonts w:ascii="Verdana" w:hAnsi="Verdana" w:cs="Arial"/>
          <w:b/>
          <w:sz w:val="22"/>
          <w:szCs w:val="22"/>
        </w:rPr>
        <w:t xml:space="preserve"> DO CONTRATO</w:t>
      </w:r>
    </w:p>
    <w:p w:rsidR="00E836CC" w:rsidRPr="005D2D45" w:rsidRDefault="007E22A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Nos termos do artigo 67 da Lei Federal n.º 8.666/93, a responsabilidade pela gestão </w:t>
      </w:r>
      <w:r w:rsidR="00732553" w:rsidRPr="005D2D45">
        <w:rPr>
          <w:rFonts w:ascii="Verdana" w:hAnsi="Verdana" w:cs="Arial"/>
          <w:sz w:val="22"/>
          <w:szCs w:val="22"/>
        </w:rPr>
        <w:t xml:space="preserve">e fiscalização </w:t>
      </w:r>
      <w:r w:rsidRPr="005D2D45">
        <w:rPr>
          <w:rFonts w:ascii="Verdana" w:hAnsi="Verdana" w:cs="Arial"/>
          <w:sz w:val="22"/>
          <w:szCs w:val="22"/>
        </w:rPr>
        <w:t xml:space="preserve">desta contratação ficará a cargo da </w:t>
      </w:r>
      <w:r w:rsidR="005B6A89" w:rsidRPr="005D2D45">
        <w:rPr>
          <w:rFonts w:ascii="Verdana" w:hAnsi="Verdana" w:cs="Arial"/>
          <w:b/>
          <w:sz w:val="22"/>
          <w:szCs w:val="22"/>
        </w:rPr>
        <w:t>S</w:t>
      </w:r>
      <w:r w:rsidR="00DB6FF9" w:rsidRPr="005D2D45">
        <w:rPr>
          <w:rFonts w:ascii="Verdana" w:hAnsi="Verdana" w:cs="Arial"/>
          <w:b/>
          <w:sz w:val="22"/>
          <w:szCs w:val="22"/>
        </w:rPr>
        <w:t>ubsecretaria de Infraestrutura e Administração Predial -</w:t>
      </w:r>
      <w:r w:rsidR="005B6A89" w:rsidRPr="005D2D45">
        <w:rPr>
          <w:rFonts w:ascii="Verdana" w:hAnsi="Verdana" w:cs="Arial"/>
          <w:b/>
          <w:sz w:val="22"/>
          <w:szCs w:val="22"/>
        </w:rPr>
        <w:t xml:space="preserve"> SIAP do TRF da 5ª Região</w:t>
      </w:r>
      <w:r w:rsidRPr="005D2D45">
        <w:rPr>
          <w:rFonts w:ascii="Verdana" w:hAnsi="Verdana" w:cs="Arial"/>
          <w:sz w:val="22"/>
          <w:szCs w:val="22"/>
        </w:rPr>
        <w:t>, através do</w:t>
      </w:r>
      <w:r w:rsidR="00732553" w:rsidRPr="005D2D45">
        <w:rPr>
          <w:rFonts w:ascii="Verdana" w:hAnsi="Verdana" w:cs="Arial"/>
          <w:sz w:val="22"/>
          <w:szCs w:val="22"/>
        </w:rPr>
        <w:t>s</w:t>
      </w:r>
      <w:r w:rsidRPr="005D2D45">
        <w:rPr>
          <w:rFonts w:ascii="Verdana" w:hAnsi="Verdana" w:cs="Arial"/>
          <w:sz w:val="22"/>
          <w:szCs w:val="22"/>
        </w:rPr>
        <w:t xml:space="preserve"> servidor</w:t>
      </w:r>
      <w:r w:rsidR="00732553" w:rsidRPr="005D2D45">
        <w:rPr>
          <w:rFonts w:ascii="Verdana" w:hAnsi="Verdana" w:cs="Arial"/>
          <w:sz w:val="22"/>
          <w:szCs w:val="22"/>
        </w:rPr>
        <w:t>es</w:t>
      </w:r>
      <w:r w:rsidRPr="005D2D45">
        <w:rPr>
          <w:rFonts w:ascii="Verdana" w:hAnsi="Verdana" w:cs="Arial"/>
          <w:sz w:val="22"/>
          <w:szCs w:val="22"/>
        </w:rPr>
        <w:t xml:space="preserve"> designado</w:t>
      </w:r>
      <w:r w:rsidR="00732553" w:rsidRPr="005D2D45">
        <w:rPr>
          <w:rFonts w:ascii="Verdana" w:hAnsi="Verdana" w:cs="Arial"/>
          <w:sz w:val="22"/>
          <w:szCs w:val="22"/>
        </w:rPr>
        <w:t>s</w:t>
      </w:r>
      <w:r w:rsidRPr="005D2D45">
        <w:rPr>
          <w:rFonts w:ascii="Verdana" w:hAnsi="Verdana" w:cs="Arial"/>
          <w:sz w:val="22"/>
          <w:szCs w:val="22"/>
        </w:rPr>
        <w:t>, que também ser</w:t>
      </w:r>
      <w:r w:rsidR="00732553" w:rsidRPr="005D2D45">
        <w:rPr>
          <w:rFonts w:ascii="Verdana" w:hAnsi="Verdana" w:cs="Arial"/>
          <w:sz w:val="22"/>
          <w:szCs w:val="22"/>
        </w:rPr>
        <w:t xml:space="preserve">ão </w:t>
      </w:r>
      <w:r w:rsidRPr="005D2D45">
        <w:rPr>
          <w:rFonts w:ascii="Verdana" w:hAnsi="Verdana" w:cs="Arial"/>
          <w:sz w:val="22"/>
          <w:szCs w:val="22"/>
        </w:rPr>
        <w:t>responsáve</w:t>
      </w:r>
      <w:r w:rsidR="00732553" w:rsidRPr="005D2D45">
        <w:rPr>
          <w:rFonts w:ascii="Verdana" w:hAnsi="Verdana" w:cs="Arial"/>
          <w:sz w:val="22"/>
          <w:szCs w:val="22"/>
        </w:rPr>
        <w:t>is</w:t>
      </w:r>
      <w:r w:rsidRPr="005D2D45">
        <w:rPr>
          <w:rFonts w:ascii="Verdana" w:hAnsi="Verdana" w:cs="Arial"/>
          <w:sz w:val="22"/>
          <w:szCs w:val="22"/>
        </w:rPr>
        <w:t xml:space="preserve"> pelo recebimento e atesto do documento de cobrança</w:t>
      </w:r>
      <w:r w:rsidR="00732553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7E22A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 </w:t>
      </w:r>
      <w:r w:rsidR="00732553" w:rsidRPr="005D2D45">
        <w:rPr>
          <w:rFonts w:ascii="Verdana" w:hAnsi="Verdana" w:cs="Arial"/>
          <w:sz w:val="22"/>
          <w:szCs w:val="22"/>
        </w:rPr>
        <w:t xml:space="preserve">gestão e </w:t>
      </w:r>
      <w:r w:rsidRPr="005D2D45">
        <w:rPr>
          <w:rFonts w:ascii="Verdana" w:hAnsi="Verdana" w:cs="Arial"/>
          <w:sz w:val="22"/>
          <w:szCs w:val="22"/>
        </w:rPr>
        <w:t>fiscalização deste Contrato ser</w:t>
      </w:r>
      <w:r w:rsidR="00732553" w:rsidRPr="005D2D45">
        <w:rPr>
          <w:rFonts w:ascii="Verdana" w:hAnsi="Verdana" w:cs="Arial"/>
          <w:sz w:val="22"/>
          <w:szCs w:val="22"/>
        </w:rPr>
        <w:t>ão</w:t>
      </w:r>
      <w:r w:rsidRPr="005D2D45">
        <w:rPr>
          <w:rFonts w:ascii="Verdana" w:hAnsi="Verdana" w:cs="Arial"/>
          <w:sz w:val="22"/>
          <w:szCs w:val="22"/>
        </w:rPr>
        <w:t xml:space="preserve"> realizada</w:t>
      </w:r>
      <w:r w:rsidR="00732553" w:rsidRPr="005D2D45">
        <w:rPr>
          <w:rFonts w:ascii="Verdana" w:hAnsi="Verdana" w:cs="Arial"/>
          <w:sz w:val="22"/>
          <w:szCs w:val="22"/>
        </w:rPr>
        <w:t>s</w:t>
      </w:r>
      <w:r w:rsidRPr="005D2D45">
        <w:rPr>
          <w:rFonts w:ascii="Verdana" w:hAnsi="Verdana" w:cs="Arial"/>
          <w:sz w:val="22"/>
          <w:szCs w:val="22"/>
        </w:rPr>
        <w:t xml:space="preserve"> por servidor</w:t>
      </w:r>
      <w:r w:rsidR="00732553" w:rsidRPr="005D2D45">
        <w:rPr>
          <w:rFonts w:ascii="Verdana" w:hAnsi="Verdana" w:cs="Arial"/>
          <w:sz w:val="22"/>
          <w:szCs w:val="22"/>
        </w:rPr>
        <w:t>es</w:t>
      </w:r>
      <w:r w:rsidRPr="005D2D45">
        <w:rPr>
          <w:rFonts w:ascii="Verdana" w:hAnsi="Verdana" w:cs="Arial"/>
          <w:sz w:val="22"/>
          <w:szCs w:val="22"/>
        </w:rPr>
        <w:t xml:space="preserve"> indicado</w:t>
      </w:r>
      <w:r w:rsidR="00732553" w:rsidRPr="005D2D45">
        <w:rPr>
          <w:rFonts w:ascii="Verdana" w:hAnsi="Verdana" w:cs="Arial"/>
          <w:sz w:val="22"/>
          <w:szCs w:val="22"/>
        </w:rPr>
        <w:t>s</w:t>
      </w:r>
      <w:r w:rsidRPr="005D2D45">
        <w:rPr>
          <w:rFonts w:ascii="Verdana" w:hAnsi="Verdana" w:cs="Arial"/>
          <w:sz w:val="22"/>
          <w:szCs w:val="22"/>
        </w:rPr>
        <w:t xml:space="preserve"> pela Diretoria Geral</w:t>
      </w:r>
      <w:r w:rsidR="00732553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7E22A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lastRenderedPageBreak/>
        <w:t>As atribuições do gestor e do fiscal do contrato estão definidas na Instrução Normativa n</w:t>
      </w:r>
      <w:r w:rsidR="00AB0BD4" w:rsidRPr="005D2D45">
        <w:rPr>
          <w:rFonts w:ascii="Verdana" w:hAnsi="Verdana" w:cs="Arial"/>
          <w:sz w:val="22"/>
          <w:szCs w:val="22"/>
        </w:rPr>
        <w:t>.</w:t>
      </w:r>
      <w:r w:rsidRPr="005D2D45">
        <w:rPr>
          <w:rFonts w:ascii="Verdana" w:hAnsi="Verdana" w:cs="Arial"/>
          <w:sz w:val="22"/>
          <w:szCs w:val="22"/>
        </w:rPr>
        <w:t>º 03, de 28 de abril de 2014, da Diretoria Geral do TRF da 5ª Região, publicada no Diário Eletrônico Administrativo do TRF da 5ª Região nº 77.0/2014, do dia 29 de abril de 2014</w:t>
      </w:r>
      <w:r w:rsidR="00732553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7E22A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Ao tomarem conhecimento de qualquer irregularidade ou inadimplência por parte da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, os titulares da fiscalização </w:t>
      </w:r>
      <w:proofErr w:type="gramStart"/>
      <w:r w:rsidRPr="005D2D45">
        <w:rPr>
          <w:rFonts w:ascii="Verdana" w:hAnsi="Verdana" w:cs="Arial"/>
          <w:sz w:val="22"/>
          <w:szCs w:val="22"/>
        </w:rPr>
        <w:t>deverão,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de imediato, comunicar por escrito ao órgão de administração da CONTRATANTE, que tomará as providências para que se apliquem as sanções previstas na lei, no Edital e no Projeto Básico, sob pena de responsabilidade solidária pelos danos causados por sua omissão</w:t>
      </w:r>
      <w:r w:rsidR="00641A77">
        <w:rPr>
          <w:rFonts w:ascii="Verdana" w:hAnsi="Verdana" w:cs="Arial"/>
          <w:sz w:val="22"/>
          <w:szCs w:val="22"/>
        </w:rPr>
        <w:t>.</w:t>
      </w:r>
    </w:p>
    <w:p w:rsidR="00732553" w:rsidRPr="005D2D45" w:rsidRDefault="00732553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 omissão, total ou parcial, da fiscalização não eximirá o fornecedor da integral responsabilidade pelos encargos ou serviços que são de sua competência.</w:t>
      </w:r>
    </w:p>
    <w:p w:rsidR="00732553" w:rsidRPr="005D2D45" w:rsidRDefault="00732553" w:rsidP="005D2D45">
      <w:pPr>
        <w:pStyle w:val="Corpodetexto"/>
        <w:spacing w:before="120" w:after="120"/>
        <w:ind w:left="1418"/>
        <w:jc w:val="both"/>
        <w:rPr>
          <w:rFonts w:ascii="Verdana" w:hAnsi="Verdana" w:cs="Arial"/>
          <w:sz w:val="22"/>
          <w:szCs w:val="22"/>
        </w:rPr>
      </w:pPr>
    </w:p>
    <w:p w:rsidR="00E836CC" w:rsidRPr="005D2D45" w:rsidRDefault="00785C68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DO RECEBIMENTO</w:t>
      </w:r>
    </w:p>
    <w:p w:rsidR="00E836CC" w:rsidRPr="005D2D45" w:rsidRDefault="00950DE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objeto da presente contratação será recebido provisoriamente pela Seção de Paisagismo, Sustentabilidade e Acessibilidade da SIAP, para que seja verificada a sua conformidade com as especificações e exigências contidas no Edital, neste Termo de Referên</w:t>
      </w:r>
      <w:r w:rsidR="00F34219" w:rsidRPr="005D2D45">
        <w:rPr>
          <w:rFonts w:ascii="Verdana" w:hAnsi="Verdana" w:cs="Arial"/>
          <w:sz w:val="22"/>
          <w:szCs w:val="22"/>
        </w:rPr>
        <w:t>cia e no Instrumento Contratual;</w:t>
      </w:r>
    </w:p>
    <w:p w:rsidR="00E836CC" w:rsidRPr="005D2D45" w:rsidRDefault="00950DE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Na hipótese de ser verificada impropriedade, deficiência ou desconformidade de quaisquer dos serviços com as previsões editalícias ou contratuais, os mesmos serão rejeitados no todo ou em parte, sendo 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="00F34219" w:rsidRPr="005D2D45">
        <w:rPr>
          <w:rFonts w:ascii="Verdana" w:hAnsi="Verdana" w:cs="Arial"/>
          <w:sz w:val="22"/>
          <w:szCs w:val="22"/>
        </w:rPr>
        <w:t xml:space="preserve"> de tudo notificada;</w:t>
      </w:r>
    </w:p>
    <w:p w:rsidR="00E836CC" w:rsidRPr="005D2D45" w:rsidRDefault="00950DE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Transcorrido o prazo do recebimento provisório e confirmadas as especificações técnicas exigidas no processo de contratação, o setor responsável receberá definitivamente o objeto deste Contrato, mensalmente, do que emitirá documento comprobatório</w:t>
      </w:r>
      <w:r w:rsidR="00F34219" w:rsidRPr="005D2D45">
        <w:rPr>
          <w:rFonts w:ascii="Verdana" w:hAnsi="Verdana" w:cs="Arial"/>
          <w:sz w:val="22"/>
          <w:szCs w:val="22"/>
        </w:rPr>
        <w:t xml:space="preserve"> e atestará a respectiva fatura</w:t>
      </w:r>
      <w:r w:rsidR="00641A77">
        <w:rPr>
          <w:rFonts w:ascii="Verdana" w:hAnsi="Verdana" w:cs="Arial"/>
          <w:sz w:val="22"/>
          <w:szCs w:val="22"/>
        </w:rPr>
        <w:t>.</w:t>
      </w:r>
      <w:r w:rsidRPr="005D2D45">
        <w:rPr>
          <w:rFonts w:ascii="Verdana" w:hAnsi="Verdana" w:cs="Arial"/>
          <w:sz w:val="22"/>
          <w:szCs w:val="22"/>
        </w:rPr>
        <w:t xml:space="preserve"> </w:t>
      </w:r>
    </w:p>
    <w:p w:rsidR="005716C5" w:rsidRPr="005D2D45" w:rsidRDefault="005716C5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C35257" w:rsidRPr="005D2D45" w:rsidRDefault="00C35257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bCs/>
          <w:strike/>
          <w:sz w:val="22"/>
          <w:szCs w:val="22"/>
        </w:rPr>
      </w:pPr>
      <w:r w:rsidRPr="005D2D45">
        <w:rPr>
          <w:rFonts w:ascii="Verdana" w:hAnsi="Verdana" w:cs="Arial"/>
          <w:b/>
          <w:bCs/>
          <w:sz w:val="22"/>
          <w:szCs w:val="22"/>
        </w:rPr>
        <w:t xml:space="preserve">DAS </w:t>
      </w:r>
      <w:r w:rsidRPr="005D2D45">
        <w:rPr>
          <w:rFonts w:ascii="Verdana" w:hAnsi="Verdana" w:cs="Arial"/>
          <w:b/>
          <w:sz w:val="22"/>
          <w:szCs w:val="22"/>
        </w:rPr>
        <w:t>OBRIGAÇÕES</w:t>
      </w:r>
      <w:r w:rsidRPr="005D2D45">
        <w:rPr>
          <w:rFonts w:ascii="Verdana" w:hAnsi="Verdana" w:cs="Arial"/>
          <w:b/>
          <w:bCs/>
          <w:sz w:val="22"/>
          <w:szCs w:val="22"/>
        </w:rPr>
        <w:t xml:space="preserve"> DA CONTRATANTE</w:t>
      </w:r>
    </w:p>
    <w:p w:rsidR="00E836CC" w:rsidRPr="005D2D45" w:rsidRDefault="00950DE5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Nomear 01 (um) Gestor e 01 (um) Fiscal e respectivos substitutos para executar o acompanhamento e a fiscalização do contrato a ser firmado, em conformidade com suas competências e demais disposições legais, devendo observar, no mínimo, as atribuições expressamente previstas neste Termo de Referência;</w:t>
      </w:r>
    </w:p>
    <w:p w:rsidR="00E836CC" w:rsidRPr="005D2D45" w:rsidRDefault="00950DE5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Dar o apoio técnico necessário ao serviço;</w:t>
      </w:r>
    </w:p>
    <w:p w:rsidR="00E836CC" w:rsidRPr="005D2D45" w:rsidRDefault="00950DE5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Prestar todas as informações e esclarecimentos atinentes ao objeto que venham a ser solicitadas;</w:t>
      </w:r>
    </w:p>
    <w:p w:rsidR="00E836CC" w:rsidRPr="005D2D45" w:rsidRDefault="000D1EFF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Acompanhar, fiscalizar e avaliar o cumprimento do objeto desta </w:t>
      </w:r>
      <w:r w:rsidR="00DC09E2" w:rsidRPr="005D2D45">
        <w:rPr>
          <w:rFonts w:ascii="Verdana" w:hAnsi="Verdana" w:cs="Arial"/>
          <w:sz w:val="22"/>
          <w:szCs w:val="22"/>
        </w:rPr>
        <w:t>C</w:t>
      </w:r>
      <w:r w:rsidRPr="005D2D45">
        <w:rPr>
          <w:rFonts w:ascii="Verdana" w:hAnsi="Verdana" w:cs="Arial"/>
          <w:sz w:val="22"/>
          <w:szCs w:val="22"/>
        </w:rPr>
        <w:t>ontratação</w:t>
      </w:r>
      <w:r w:rsidR="00DC09E2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950DE5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Efetuar o pagamento na forma ajustada neste Termo de Referência e no contrato respectivo; </w:t>
      </w:r>
    </w:p>
    <w:p w:rsidR="00E836CC" w:rsidRPr="005D2D45" w:rsidRDefault="00950DE5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lastRenderedPageBreak/>
        <w:t xml:space="preserve">Proporcionar todas as facilidades indispensáveis à boa execução das obrigações contratuais, inclusive permitir o acesso do caminhão, de representantes, prepostos ou empregados da CONTRATADA aos locais onde serão entregues e/ou retiradas </w:t>
      </w:r>
      <w:proofErr w:type="gramStart"/>
      <w:r w:rsidRPr="005D2D45">
        <w:rPr>
          <w:rFonts w:ascii="Verdana" w:hAnsi="Verdana" w:cs="Arial"/>
          <w:sz w:val="22"/>
          <w:szCs w:val="22"/>
        </w:rPr>
        <w:t>as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caçambas, observadas as normas que disciplinam a segurança do patrimônio e das pessoas;</w:t>
      </w:r>
    </w:p>
    <w:p w:rsidR="00E836CC" w:rsidRPr="005D2D45" w:rsidRDefault="00950DE5" w:rsidP="00FF2503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Cumprir as demais obrigações constantes deste Termo de Referência, do instrumento convocatório e outras imposições previstas no contrato.</w:t>
      </w:r>
    </w:p>
    <w:p w:rsidR="00DC09E2" w:rsidRPr="005D2D45" w:rsidRDefault="00DC09E2" w:rsidP="005D2D45">
      <w:pPr>
        <w:pStyle w:val="Recuodecorpodetexto"/>
        <w:spacing w:before="120" w:after="120"/>
        <w:ind w:left="709" w:firstLine="0"/>
        <w:rPr>
          <w:rFonts w:ascii="Verdana" w:hAnsi="Verdana" w:cs="Arial"/>
          <w:sz w:val="22"/>
          <w:szCs w:val="22"/>
        </w:rPr>
      </w:pPr>
    </w:p>
    <w:p w:rsidR="0042571B" w:rsidRPr="005D2D45" w:rsidRDefault="0042571B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bCs/>
          <w:strike/>
          <w:sz w:val="22"/>
          <w:szCs w:val="22"/>
        </w:rPr>
      </w:pPr>
      <w:r w:rsidRPr="005D2D45">
        <w:rPr>
          <w:rFonts w:ascii="Verdana" w:hAnsi="Verdana" w:cs="Arial"/>
          <w:b/>
          <w:bCs/>
          <w:sz w:val="22"/>
          <w:szCs w:val="22"/>
        </w:rPr>
        <w:t>DAS OBRIGAÇÕES DA CONTRATADA</w:t>
      </w:r>
    </w:p>
    <w:p w:rsidR="00DB6FF9" w:rsidRPr="005D2D45" w:rsidRDefault="00DB6FF9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Entregar a caçamba sempre no dia e hora previamente acertado com o Fiscal do Contrato;</w:t>
      </w:r>
    </w:p>
    <w:p w:rsidR="00DB6FF9" w:rsidRPr="005D2D45" w:rsidRDefault="00DB6FF9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Recolher a caçamba com o material, quando solicitado pela CONTRATANTE; </w:t>
      </w:r>
    </w:p>
    <w:p w:rsidR="00E836CC" w:rsidRPr="005D2D45" w:rsidRDefault="00950DE5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Apresentar o comprovante de descarrego do Aterro Sanitário, que deverá ser licenciado pel</w:t>
      </w:r>
      <w:r w:rsidR="00183B25" w:rsidRPr="005D2D45">
        <w:rPr>
          <w:rFonts w:ascii="Verdana" w:hAnsi="Verdana" w:cs="Arial"/>
          <w:sz w:val="22"/>
          <w:szCs w:val="22"/>
        </w:rPr>
        <w:t>a CONTRATANTE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950DE5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Emitir a fatura com o valor correspondente ao serviço executado;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Responsabilizar-se integralmente pelo objeto contratado, nas quantidades e padrões estabelecidos, vindo a responder pelos danos causados diretamente ao TRF da 5ª Região ou a terceiros, decorrentes de sua culpa ou dolo, nos termos da legislação vigente, não excluindo ou reduzindo essa responsabilidade a fiscalização ou acompanhamento pelo órgão interessado, conforme determina o art. 70 da Lei nº 8.666/1993;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Assumir todos os possíveis danos, tanto físicos, quanto materiais, causados ao Tribunal e/ou terceiros, advindos de imperícia, negligência, imprudência ou desrespeito às normas de segurança, quando da </w:t>
      </w:r>
      <w:r w:rsidR="00CA20A2" w:rsidRPr="005D2D45">
        <w:rPr>
          <w:rFonts w:ascii="Verdana" w:hAnsi="Verdana" w:cs="Arial"/>
          <w:sz w:val="22"/>
          <w:szCs w:val="22"/>
        </w:rPr>
        <w:t>entrega do objeto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Prestar todos os esclarecimentos que forem solicitados pela </w:t>
      </w:r>
      <w:r w:rsidR="00183B25" w:rsidRPr="005D2D45">
        <w:rPr>
          <w:rFonts w:ascii="Verdana" w:hAnsi="Verdana" w:cs="Arial"/>
          <w:sz w:val="22"/>
          <w:szCs w:val="22"/>
        </w:rPr>
        <w:t>CONTRATANTE</w:t>
      </w:r>
      <w:r w:rsidRPr="005D2D45">
        <w:rPr>
          <w:rFonts w:ascii="Verdana" w:hAnsi="Verdana" w:cs="Arial"/>
          <w:sz w:val="22"/>
          <w:szCs w:val="22"/>
        </w:rPr>
        <w:t xml:space="preserve">, obrigando-se a atender, de imediato, todas as reclamações a respeito da qualidade do </w:t>
      </w:r>
      <w:r w:rsidR="00CA20A2" w:rsidRPr="005D2D45">
        <w:rPr>
          <w:rFonts w:ascii="Verdana" w:hAnsi="Verdana" w:cs="Arial"/>
          <w:sz w:val="22"/>
          <w:szCs w:val="22"/>
        </w:rPr>
        <w:t>serviço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Garantir a proteção e segurança das pessoas envolvidas direta ou indiretamen</w:t>
      </w:r>
      <w:r w:rsidR="00CA20A2" w:rsidRPr="005D2D45">
        <w:rPr>
          <w:rFonts w:ascii="Verdana" w:hAnsi="Verdana" w:cs="Arial"/>
          <w:sz w:val="22"/>
          <w:szCs w:val="22"/>
        </w:rPr>
        <w:t>te na realização do serviço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Arcar com despesa decorrente de qualquer infração, seja qual for, desde que praticada por seus empregados quando da </w:t>
      </w:r>
      <w:r w:rsidR="00CA20A2" w:rsidRPr="005D2D45">
        <w:rPr>
          <w:rFonts w:ascii="Verdana" w:hAnsi="Verdana" w:cs="Arial"/>
          <w:sz w:val="22"/>
          <w:szCs w:val="22"/>
        </w:rPr>
        <w:t>realização do serviço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Não empregar menores de 18 anos em trabalho noturno, perigoso ou insalubre, bem como a não empregar menores de 16 anos em qualquer trabalho, salvo na condição de aprendiz, a partir de 14 anos;</w:t>
      </w:r>
    </w:p>
    <w:p w:rsidR="00E836CC" w:rsidRPr="005D2D45" w:rsidRDefault="000D1EFF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Observar o inserto no art. 3º da Resolução nº 07 (18/10/2005), com nova redação dada pela Resolução nº 09 (06/12/2005), ambas do Conselho Nacional de Justiça, no tocante a vedação de manutenção, aditamento ou prorrogação de contrato de prestação de serviços com empresa que contrate empregados que sejam cônjuges, companheiros ou parentes em linha reta, </w:t>
      </w:r>
      <w:r w:rsidRPr="005D2D45">
        <w:rPr>
          <w:rFonts w:ascii="Verdana" w:hAnsi="Verdana" w:cs="Arial"/>
          <w:sz w:val="22"/>
          <w:szCs w:val="22"/>
        </w:rPr>
        <w:lastRenderedPageBreak/>
        <w:t xml:space="preserve">colateral ou por afinidade, até o terceiro grau, inclusive, de ocupantes de cargos de direção e de assessoramento, de membros ou juízes vinculados ao respectivo Tribunal </w:t>
      </w:r>
      <w:r w:rsidR="00183B25" w:rsidRPr="005D2D45">
        <w:rPr>
          <w:rFonts w:ascii="Verdana" w:hAnsi="Verdana" w:cs="Arial"/>
          <w:sz w:val="22"/>
          <w:szCs w:val="22"/>
        </w:rPr>
        <w:t>CONTRATANTE</w:t>
      </w:r>
      <w:r w:rsidRPr="005D2D45">
        <w:rPr>
          <w:rFonts w:ascii="Verdana" w:hAnsi="Verdana" w:cs="Arial"/>
          <w:sz w:val="22"/>
          <w:szCs w:val="22"/>
        </w:rPr>
        <w:t>, devendo na ocorrência de quaisquer umas das hipóteses descritas, comunicar, de imediato e por escrito, a este Sodalício, respondendo, na forma da lei, pela omissão;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Manter durante toda a execução deste objeto, em compatibilidade com as obrigações por ela assumidas, todas as condições de habilitação e qualificação exigidas no processo de contratação, conforme inciso XIII, art. 55, da Lei nº 8.666/1993;</w:t>
      </w:r>
    </w:p>
    <w:p w:rsidR="00E836CC" w:rsidRPr="005D2D45" w:rsidRDefault="00D26263" w:rsidP="00641A77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Na hipótese do inadimplemento do subitem anterior, 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será notificada, no prazo definido pelo TRF da 5ª Região, para regularizar a situação, </w:t>
      </w:r>
      <w:proofErr w:type="gramStart"/>
      <w:r w:rsidRPr="005D2D45">
        <w:rPr>
          <w:rFonts w:ascii="Verdana" w:hAnsi="Verdana" w:cs="Arial"/>
          <w:sz w:val="22"/>
          <w:szCs w:val="22"/>
        </w:rPr>
        <w:t>sob pena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de rescisão da contratação (Art. 78, inciso I da Lei n.º 8.666/1993), além das penalidades previstas no Edital, no Termo de Referência, no Instrumento Contratual e na legislação pertinente</w:t>
      </w:r>
      <w:r w:rsidR="00F34219" w:rsidRPr="005D2D45">
        <w:rPr>
          <w:rFonts w:ascii="Verdana" w:hAnsi="Verdana" w:cs="Arial"/>
          <w:sz w:val="22"/>
          <w:szCs w:val="22"/>
        </w:rPr>
        <w:t>.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Aceitar, nas mesmas condições contratuais, os acréscimos ou supressões até o limite de 25% (vinte e cinco por cento) de cada item contratado, desde que a despesa não esteja liquidada;</w:t>
      </w:r>
    </w:p>
    <w:p w:rsidR="00E836CC" w:rsidRPr="005D2D45" w:rsidRDefault="00D26263" w:rsidP="00641A77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Por acordo entre as partes as supressões poderão ser superiores ao limite de 25% estabelecido no item anterior.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E</w:t>
      </w:r>
      <w:r w:rsidR="005716C5" w:rsidRPr="005D2D45">
        <w:rPr>
          <w:rFonts w:ascii="Verdana" w:hAnsi="Verdana" w:cs="Arial"/>
          <w:sz w:val="22"/>
          <w:szCs w:val="22"/>
        </w:rPr>
        <w:t xml:space="preserve">xecutar os serviços </w:t>
      </w:r>
      <w:r w:rsidRPr="005D2D45">
        <w:rPr>
          <w:rFonts w:ascii="Verdana" w:hAnsi="Verdana" w:cs="Arial"/>
          <w:sz w:val="22"/>
          <w:szCs w:val="22"/>
        </w:rPr>
        <w:t>dentro das especificações e/ou condições constantes da proposta vencedora, bem como do edital e seus anexos;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Manter sempre atualizados os seus dados cadastrais, alteração da constituição social ou do estatuto, conforme o caso, principalmente em caso de modificação de endereço, </w:t>
      </w:r>
      <w:proofErr w:type="gramStart"/>
      <w:r w:rsidRPr="005D2D45">
        <w:rPr>
          <w:rFonts w:ascii="Verdana" w:hAnsi="Verdana" w:cs="Arial"/>
          <w:sz w:val="22"/>
          <w:szCs w:val="22"/>
        </w:rPr>
        <w:t>sob pena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de infração contratual;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Executar diretamente o objeto, sem transferência de responsabilidades ou subcontratações não autorizadas pela CONTRATANTE;</w:t>
      </w:r>
    </w:p>
    <w:p w:rsidR="00E836CC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Assinar o instrumento contratual no prazo de até 05 (cinco) dias, a contar do recebimento da comunicação formal da Administração convocando para esse fim;</w:t>
      </w:r>
    </w:p>
    <w:p w:rsidR="000A52E1" w:rsidRPr="005D2D45" w:rsidRDefault="00D26263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Comparecer, sempre que convocada, às reuniões solicitadas pel</w:t>
      </w:r>
      <w:r w:rsidR="00183B25" w:rsidRPr="005D2D45">
        <w:rPr>
          <w:rFonts w:ascii="Verdana" w:hAnsi="Verdana" w:cs="Arial"/>
          <w:sz w:val="22"/>
          <w:szCs w:val="22"/>
        </w:rPr>
        <w:t>a</w:t>
      </w:r>
      <w:r w:rsidRPr="005D2D45">
        <w:rPr>
          <w:rFonts w:ascii="Verdana" w:hAnsi="Verdana" w:cs="Arial"/>
          <w:sz w:val="22"/>
          <w:szCs w:val="22"/>
        </w:rPr>
        <w:t xml:space="preserve"> CONTRATANTE, assumindo ônus por sua ausência</w:t>
      </w:r>
      <w:r w:rsidR="000A52E1" w:rsidRPr="005D2D45">
        <w:rPr>
          <w:rFonts w:ascii="Verdana" w:hAnsi="Verdana" w:cs="Arial"/>
          <w:sz w:val="22"/>
          <w:szCs w:val="22"/>
        </w:rPr>
        <w:t>;</w:t>
      </w:r>
    </w:p>
    <w:p w:rsidR="00641A77" w:rsidRPr="004A0FC7" w:rsidRDefault="00641A77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4A0FC7">
        <w:rPr>
          <w:rFonts w:ascii="Verdana" w:hAnsi="Verdana" w:cs="Arial"/>
          <w:sz w:val="22"/>
          <w:szCs w:val="22"/>
        </w:rPr>
        <w:t xml:space="preserve">Adotar, no que </w:t>
      </w:r>
      <w:proofErr w:type="gramStart"/>
      <w:r w:rsidRPr="004A0FC7">
        <w:rPr>
          <w:rFonts w:ascii="Verdana" w:hAnsi="Verdana" w:cs="Arial"/>
          <w:sz w:val="22"/>
          <w:szCs w:val="22"/>
        </w:rPr>
        <w:t>couber</w:t>
      </w:r>
      <w:proofErr w:type="gramEnd"/>
      <w:r w:rsidRPr="004A0FC7">
        <w:rPr>
          <w:rFonts w:ascii="Verdana" w:hAnsi="Verdana" w:cs="Arial"/>
          <w:sz w:val="22"/>
          <w:szCs w:val="22"/>
        </w:rPr>
        <w:t>, os critérios e práticas de sustentabilidade ambiental nas aquisições de bens e/ou na execução dos serviços, nos termos da Instrução Normativa nº 01/2010 - SLTI/MPOG, de 19 de janeiro de 2010;</w:t>
      </w:r>
    </w:p>
    <w:p w:rsidR="00E836CC" w:rsidRPr="005D2D45" w:rsidRDefault="000A52E1" w:rsidP="00641A77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Cumprir com as demais obrigações constantes no Edital, neste Termo de Referência e outras previstas no Contrato</w:t>
      </w:r>
      <w:r w:rsidR="007E15B2" w:rsidRPr="005D2D45">
        <w:rPr>
          <w:rFonts w:ascii="Verdana" w:hAnsi="Verdana" w:cs="Arial"/>
          <w:sz w:val="22"/>
          <w:szCs w:val="22"/>
        </w:rPr>
        <w:t>.</w:t>
      </w:r>
    </w:p>
    <w:p w:rsidR="00E836CC" w:rsidRPr="005D2D45" w:rsidRDefault="00E836CC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z w:val="22"/>
          <w:szCs w:val="22"/>
        </w:rPr>
      </w:pPr>
    </w:p>
    <w:p w:rsidR="00E836CC" w:rsidRPr="005D2D45" w:rsidRDefault="0042571B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DAS PENALIDADES</w:t>
      </w:r>
    </w:p>
    <w:p w:rsidR="00E836CC" w:rsidRPr="005D2D45" w:rsidRDefault="0042571B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Serão aplicadas à CONTRATADA, garantidos o contraditório e a ampla</w:t>
      </w:r>
      <w:r w:rsidR="0022580D" w:rsidRPr="005D2D45">
        <w:rPr>
          <w:rFonts w:ascii="Verdana" w:hAnsi="Verdana" w:cs="Arial"/>
          <w:sz w:val="22"/>
          <w:szCs w:val="22"/>
        </w:rPr>
        <w:t xml:space="preserve"> </w:t>
      </w:r>
      <w:r w:rsidRPr="005D2D45">
        <w:rPr>
          <w:rFonts w:ascii="Verdana" w:hAnsi="Verdana" w:cs="Arial"/>
          <w:sz w:val="22"/>
          <w:szCs w:val="22"/>
        </w:rPr>
        <w:t>defesa, as penalidades conforme a seguir:</w:t>
      </w:r>
    </w:p>
    <w:p w:rsidR="00797EBD" w:rsidRPr="005D2D45" w:rsidRDefault="00797EBD" w:rsidP="00EA21BA">
      <w:pPr>
        <w:pStyle w:val="Recuodecorpodetexto2"/>
        <w:spacing w:before="120" w:after="120"/>
        <w:ind w:left="1134" w:firstLine="0"/>
        <w:rPr>
          <w:rFonts w:ascii="Verdana" w:hAnsi="Verdana" w:cs="Arial"/>
          <w:strike w:val="0"/>
          <w:sz w:val="22"/>
          <w:szCs w:val="22"/>
          <w:u w:val="single"/>
        </w:rPr>
      </w:pPr>
      <w:r w:rsidRPr="005D2D45">
        <w:rPr>
          <w:rFonts w:ascii="Verdana" w:hAnsi="Verdana" w:cs="Arial"/>
          <w:strike w:val="0"/>
          <w:sz w:val="22"/>
          <w:szCs w:val="22"/>
          <w:u w:val="single"/>
        </w:rPr>
        <w:lastRenderedPageBreak/>
        <w:t>MULTA POR DESCUMPRIMENTO DE PRAZOS E OBRIGAÇÕES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Na hipótese da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não entregar o objeto contratado no prazo estabelecido, caracterizar-se-á atraso, e será aplicada multa de 0,2% (zero vírgula dois por cento) por dia, até o máximo de 10% (dez por cento) sobre o valor da</w:t>
      </w:r>
      <w:r w:rsidR="00505E60">
        <w:rPr>
          <w:rFonts w:ascii="Verdana" w:hAnsi="Verdana" w:cs="Arial"/>
          <w:sz w:val="22"/>
          <w:szCs w:val="22"/>
        </w:rPr>
        <w:t xml:space="preserve"> fatura do mês de referência em que ocorreu o atraso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183B25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</w:t>
      </w:r>
      <w:r w:rsidR="00797EBD" w:rsidRPr="005D2D45">
        <w:rPr>
          <w:rFonts w:ascii="Verdana" w:hAnsi="Verdana" w:cs="Arial"/>
          <w:sz w:val="22"/>
          <w:szCs w:val="22"/>
        </w:rPr>
        <w:t xml:space="preserve"> </w:t>
      </w:r>
      <w:r w:rsidRPr="005D2D45">
        <w:rPr>
          <w:rFonts w:ascii="Verdana" w:hAnsi="Verdana" w:cs="Arial"/>
          <w:sz w:val="22"/>
          <w:szCs w:val="22"/>
        </w:rPr>
        <w:t>CONTRATANTE</w:t>
      </w:r>
      <w:r w:rsidR="00797EBD" w:rsidRPr="005D2D45">
        <w:rPr>
          <w:rFonts w:ascii="Verdana" w:hAnsi="Verdana" w:cs="Arial"/>
          <w:sz w:val="22"/>
          <w:szCs w:val="22"/>
        </w:rPr>
        <w:t xml:space="preserve"> a partir do 10º (décimo) dia de atraso poderá recusar o objeto contratado, ocasião na qual será cobrada a multa relativa à recusa e não mais a multa diária por atraso, ante a inacumulabilidade da cobrança;</w:t>
      </w:r>
    </w:p>
    <w:p w:rsidR="00E836CC" w:rsidRPr="005D2D45" w:rsidRDefault="00797EBD" w:rsidP="002606FA">
      <w:pPr>
        <w:pStyle w:val="Recuodecorpodetexto"/>
        <w:numPr>
          <w:ilvl w:val="3"/>
          <w:numId w:val="1"/>
        </w:numPr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Em caso de recusa do objeto contratado aplicar-se-á multa de 10% (dez por cento) sobre o valor da contratação;</w:t>
      </w:r>
    </w:p>
    <w:p w:rsidR="00E836CC" w:rsidRPr="005D2D45" w:rsidRDefault="00797EBD" w:rsidP="002606FA">
      <w:pPr>
        <w:pStyle w:val="Recuodecorpodetexto"/>
        <w:numPr>
          <w:ilvl w:val="3"/>
          <w:numId w:val="1"/>
        </w:numPr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Entende-se configurada a recusa, além do descumprimento do prazo estabelecido no </w:t>
      </w:r>
      <w:r w:rsidR="007E22AC" w:rsidRPr="00505E60">
        <w:rPr>
          <w:rFonts w:ascii="Verdana" w:hAnsi="Verdana" w:cs="Arial"/>
          <w:b/>
          <w:sz w:val="22"/>
          <w:szCs w:val="22"/>
        </w:rPr>
        <w:t xml:space="preserve">subitem </w:t>
      </w:r>
      <w:r w:rsidR="00505E60">
        <w:rPr>
          <w:rFonts w:ascii="Verdana" w:hAnsi="Verdana" w:cs="Arial"/>
          <w:b/>
          <w:sz w:val="22"/>
          <w:szCs w:val="22"/>
        </w:rPr>
        <w:t>12.1.</w:t>
      </w:r>
      <w:r w:rsidR="007E22AC" w:rsidRPr="00505E60">
        <w:rPr>
          <w:rFonts w:ascii="Verdana" w:hAnsi="Verdana" w:cs="Arial"/>
          <w:b/>
          <w:sz w:val="22"/>
          <w:szCs w:val="22"/>
        </w:rPr>
        <w:t>2</w:t>
      </w:r>
      <w:r w:rsidR="007E22AC" w:rsidRPr="005D2D45">
        <w:rPr>
          <w:rFonts w:ascii="Verdana" w:hAnsi="Verdana" w:cs="Arial"/>
          <w:sz w:val="22"/>
          <w:szCs w:val="22"/>
        </w:rPr>
        <w:t xml:space="preserve"> </w:t>
      </w:r>
      <w:r w:rsidRPr="005D2D45">
        <w:rPr>
          <w:rFonts w:ascii="Verdana" w:hAnsi="Verdana" w:cs="Arial"/>
          <w:sz w:val="22"/>
          <w:szCs w:val="22"/>
        </w:rPr>
        <w:t xml:space="preserve">deste Termo de Referência, as hipóteses em que 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não apresentar situação regular conforme exigências contidas no Edital, neste Termo de Referência e no Contrato.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Caso 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não atenda aos demais prazos e obrigações constantes no Edital, neste Termo de Referência e no Instrumento Contratual, aplicar-se-á multa de 0,2% (zero vírgula dois por cento) por dia, limitada a 10% (dez por cento) sobre o valor da contratação;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 multa aplicada em razão de atraso injustificado não impede que a Administração rescinda a contratação e aplique </w:t>
      </w:r>
      <w:r w:rsidR="00F34219" w:rsidRPr="005D2D45">
        <w:rPr>
          <w:rFonts w:ascii="Verdana" w:hAnsi="Verdana" w:cs="Arial"/>
          <w:sz w:val="22"/>
          <w:szCs w:val="22"/>
        </w:rPr>
        <w:t>outras sanções previstas em lei;</w:t>
      </w:r>
    </w:p>
    <w:p w:rsidR="00797EBD" w:rsidRPr="005D2D45" w:rsidRDefault="00797EBD" w:rsidP="00EA21BA">
      <w:pPr>
        <w:pStyle w:val="Recuodecorpodetexto2"/>
        <w:spacing w:before="120" w:after="120"/>
        <w:ind w:left="1134" w:firstLine="0"/>
        <w:rPr>
          <w:rFonts w:ascii="Verdana" w:hAnsi="Verdana" w:cs="Arial"/>
          <w:strike w:val="0"/>
          <w:sz w:val="22"/>
          <w:szCs w:val="22"/>
          <w:u w:val="single"/>
        </w:rPr>
      </w:pPr>
      <w:r w:rsidRPr="005D2D45">
        <w:rPr>
          <w:rFonts w:ascii="Verdana" w:hAnsi="Verdana" w:cs="Arial"/>
          <w:strike w:val="0"/>
          <w:sz w:val="22"/>
          <w:szCs w:val="22"/>
          <w:u w:val="single"/>
        </w:rPr>
        <w:t>MULTA POR RESCISÃO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Nas hipóteses de rescisão unilateral, deve ser aplicada multa de 10% (dez por cento) sobre o valor da contratação;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Não deve haver cumulação entre a multa prevista neste artigo e a multa específica prevista para outra inexecução que enseje em rescisão. Nessa hipótese, deve ser aplicada a multa de maior valor;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As multas descritas serão descontadas de pagamentos a serem efetuados ou da garantia, quando houver, ou ainda cobradas administrativamente e, na impossibilidade, judicialmente;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TRF da 5ª Região poderá suspender os pagamentos devidos até a conclusão dos processos de aplicação das penalidades;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Além das penalidades citadas, 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ficará sujeita ainda ao cancelamento de sua inscrição no Cadastro de Fornecedores d</w:t>
      </w:r>
      <w:r w:rsidR="00183B25" w:rsidRPr="005D2D45">
        <w:rPr>
          <w:rFonts w:ascii="Verdana" w:hAnsi="Verdana" w:cs="Arial"/>
          <w:sz w:val="22"/>
          <w:szCs w:val="22"/>
        </w:rPr>
        <w:t>a</w:t>
      </w:r>
      <w:r w:rsidRPr="005D2D45">
        <w:rPr>
          <w:rFonts w:ascii="Verdana" w:hAnsi="Verdana" w:cs="Arial"/>
          <w:sz w:val="22"/>
          <w:szCs w:val="22"/>
        </w:rPr>
        <w:t xml:space="preserve"> </w:t>
      </w:r>
      <w:r w:rsidR="00183B25" w:rsidRPr="005D2D45">
        <w:rPr>
          <w:rFonts w:ascii="Verdana" w:hAnsi="Verdana" w:cs="Arial"/>
          <w:sz w:val="22"/>
          <w:szCs w:val="22"/>
        </w:rPr>
        <w:t>CONTRATANTE</w:t>
      </w:r>
      <w:r w:rsidRPr="005D2D45">
        <w:rPr>
          <w:rFonts w:ascii="Verdana" w:hAnsi="Verdana" w:cs="Arial"/>
          <w:sz w:val="22"/>
          <w:szCs w:val="22"/>
        </w:rPr>
        <w:t xml:space="preserve">, bem como será descredenciada do </w:t>
      </w:r>
      <w:r w:rsidRPr="005D2D45">
        <w:rPr>
          <w:rFonts w:ascii="Verdana" w:hAnsi="Verdana" w:cs="Arial"/>
          <w:sz w:val="22"/>
          <w:szCs w:val="22"/>
        </w:rPr>
        <w:lastRenderedPageBreak/>
        <w:t xml:space="preserve">SICAF e, no que </w:t>
      </w:r>
      <w:proofErr w:type="gramStart"/>
      <w:r w:rsidRPr="005D2D45">
        <w:rPr>
          <w:rFonts w:ascii="Verdana" w:hAnsi="Verdana" w:cs="Arial"/>
          <w:sz w:val="22"/>
          <w:szCs w:val="22"/>
        </w:rPr>
        <w:t>couber,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às demais penalidades referidas no Capítulo IV da lei 8.666/1993;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As penalidades aplicadas à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serão registradas no SICAF;</w:t>
      </w:r>
    </w:p>
    <w:p w:rsidR="00E836CC" w:rsidRPr="005D2D45" w:rsidRDefault="00797EBD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não incorrerá em multa durante as prorrogações compensatórias expressamente concedidas pel</w:t>
      </w:r>
      <w:r w:rsidR="00183B25" w:rsidRPr="005D2D45">
        <w:rPr>
          <w:rFonts w:ascii="Verdana" w:hAnsi="Verdana" w:cs="Arial"/>
          <w:sz w:val="22"/>
          <w:szCs w:val="22"/>
        </w:rPr>
        <w:t>a</w:t>
      </w:r>
      <w:r w:rsidRPr="005D2D45">
        <w:rPr>
          <w:rFonts w:ascii="Verdana" w:hAnsi="Verdana" w:cs="Arial"/>
          <w:sz w:val="22"/>
          <w:szCs w:val="22"/>
        </w:rPr>
        <w:t xml:space="preserve"> </w:t>
      </w:r>
      <w:r w:rsidR="00183B25" w:rsidRPr="005D2D45">
        <w:rPr>
          <w:rFonts w:ascii="Verdana" w:hAnsi="Verdana" w:cs="Arial"/>
          <w:sz w:val="22"/>
          <w:szCs w:val="22"/>
        </w:rPr>
        <w:t>CONTRATANTE</w:t>
      </w:r>
      <w:r w:rsidRPr="005D2D45">
        <w:rPr>
          <w:rFonts w:ascii="Verdana" w:hAnsi="Verdana" w:cs="Arial"/>
          <w:sz w:val="22"/>
          <w:szCs w:val="22"/>
        </w:rPr>
        <w:t>, em virtude de caso fortuito, força maior ou de impedimento ocasionado pela Administração.</w:t>
      </w:r>
    </w:p>
    <w:p w:rsidR="0042571B" w:rsidRPr="005D2D45" w:rsidRDefault="0042571B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42571B" w:rsidRPr="005D2D45" w:rsidRDefault="0042571B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 xml:space="preserve">DO </w:t>
      </w:r>
      <w:r w:rsidR="0072025C" w:rsidRPr="005D2D45">
        <w:rPr>
          <w:rFonts w:ascii="Verdana" w:hAnsi="Verdana" w:cs="Arial"/>
          <w:b/>
          <w:sz w:val="22"/>
          <w:szCs w:val="22"/>
        </w:rPr>
        <w:t xml:space="preserve">PROCEDIMENTO PARA </w:t>
      </w:r>
      <w:r w:rsidRPr="005D2D45">
        <w:rPr>
          <w:rFonts w:ascii="Verdana" w:hAnsi="Verdana" w:cs="Arial"/>
          <w:b/>
          <w:sz w:val="22"/>
          <w:szCs w:val="22"/>
        </w:rPr>
        <w:t>PAGAMENTO</w:t>
      </w:r>
    </w:p>
    <w:p w:rsidR="0072025C" w:rsidRPr="005D2D45" w:rsidRDefault="0072025C" w:rsidP="00EA21BA">
      <w:pPr>
        <w:pStyle w:val="Recuodecorpodetexto2"/>
        <w:spacing w:before="120" w:after="120"/>
        <w:ind w:firstLine="0"/>
        <w:rPr>
          <w:rFonts w:ascii="Verdana" w:hAnsi="Verdana" w:cs="Arial"/>
          <w:strike w:val="0"/>
          <w:sz w:val="22"/>
          <w:szCs w:val="22"/>
          <w:u w:val="single"/>
        </w:rPr>
      </w:pPr>
      <w:r w:rsidRPr="005D2D45">
        <w:rPr>
          <w:rFonts w:ascii="Verdana" w:hAnsi="Verdana" w:cs="Arial"/>
          <w:strike w:val="0"/>
          <w:sz w:val="22"/>
          <w:szCs w:val="22"/>
          <w:u w:val="single"/>
        </w:rPr>
        <w:t>DO DOCUMENTO DE COBRANÇA</w:t>
      </w:r>
    </w:p>
    <w:p w:rsidR="00E836CC" w:rsidRPr="005D2D45" w:rsidRDefault="0072025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Para efeitos de pagamento, a licitante vencedora deverá apresentar documento de cobrança, constando de forma discriminada, a efetiva realização do objeto contratado com o quantitativo </w:t>
      </w:r>
      <w:r w:rsidR="000D1EFF" w:rsidRPr="005D2D45">
        <w:rPr>
          <w:rFonts w:ascii="Verdana" w:hAnsi="Verdana" w:cs="Arial"/>
          <w:sz w:val="22"/>
          <w:szCs w:val="22"/>
        </w:rPr>
        <w:t xml:space="preserve">de caçambas locadas e </w:t>
      </w:r>
      <w:r w:rsidRPr="005D2D45">
        <w:rPr>
          <w:rFonts w:ascii="Verdana" w:hAnsi="Verdana" w:cs="Arial"/>
          <w:sz w:val="22"/>
          <w:szCs w:val="22"/>
        </w:rPr>
        <w:t xml:space="preserve">de </w:t>
      </w:r>
      <w:r w:rsidR="0018120C" w:rsidRPr="005D2D45">
        <w:rPr>
          <w:rFonts w:ascii="Verdana" w:hAnsi="Verdana" w:cs="Arial"/>
          <w:sz w:val="22"/>
          <w:szCs w:val="22"/>
        </w:rPr>
        <w:t>resíduos recolhidos e destinados</w:t>
      </w:r>
      <w:r w:rsidRPr="005D2D45">
        <w:rPr>
          <w:rFonts w:ascii="Verdana" w:hAnsi="Verdana" w:cs="Arial"/>
          <w:sz w:val="22"/>
          <w:szCs w:val="22"/>
        </w:rPr>
        <w:t xml:space="preserve"> no mês imediatamente anterior, informando, ainda, o nome e n</w:t>
      </w:r>
      <w:r w:rsidR="0026205E" w:rsidRPr="005D2D45">
        <w:rPr>
          <w:rFonts w:ascii="Verdana" w:hAnsi="Verdana" w:cs="Arial"/>
          <w:sz w:val="22"/>
          <w:szCs w:val="22"/>
        </w:rPr>
        <w:t>ú</w:t>
      </w:r>
      <w:r w:rsidRPr="005D2D45">
        <w:rPr>
          <w:rFonts w:ascii="Verdana" w:hAnsi="Verdana" w:cs="Arial"/>
          <w:sz w:val="22"/>
          <w:szCs w:val="22"/>
        </w:rPr>
        <w:t>mero do banco, a agência e o número da conta-corrente em que o crédito deverá ser efetuado;</w:t>
      </w:r>
    </w:p>
    <w:p w:rsidR="00E836CC" w:rsidRPr="005D2D45" w:rsidRDefault="0072025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 licitante vencedora deverá apresentar juntamente com o documento de cobrança a comprovação de que cumpriu as seguintes exigências, cumulativamente:</w:t>
      </w:r>
    </w:p>
    <w:p w:rsidR="00AD1A31" w:rsidRPr="005D2D45" w:rsidRDefault="00AD1A31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Declaração de Opção do Simples Nacional;</w:t>
      </w:r>
    </w:p>
    <w:p w:rsidR="00AD1A31" w:rsidRPr="005D2D45" w:rsidRDefault="00AD1A31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Certidão conjunta negativa de débitos relativos a tributos federais e à Dívida Ativa da União, às contribuições previdenciárias e as de terceiros (CONJUNTA);</w:t>
      </w:r>
    </w:p>
    <w:p w:rsidR="00E836CC" w:rsidRPr="005D2D45" w:rsidRDefault="0072025C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Certidão de regularidade com o FGTS</w:t>
      </w:r>
      <w:r w:rsidR="00A74842" w:rsidRPr="005D2D45">
        <w:rPr>
          <w:rFonts w:ascii="Verdana" w:hAnsi="Verdana" w:cs="Arial"/>
          <w:sz w:val="22"/>
          <w:szCs w:val="22"/>
        </w:rPr>
        <w:t xml:space="preserve"> (CRF-FGTS)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72025C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Certidão Negativa de Débitos Trabalhistas</w:t>
      </w:r>
      <w:r w:rsidR="00A74842" w:rsidRPr="005D2D45">
        <w:rPr>
          <w:rFonts w:ascii="Verdana" w:hAnsi="Verdana" w:cs="Arial"/>
          <w:sz w:val="22"/>
          <w:szCs w:val="22"/>
        </w:rPr>
        <w:t xml:space="preserve"> (CNDT)</w:t>
      </w:r>
      <w:r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72025C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Certidão de regularidade com a Fazenda Estadual</w:t>
      </w:r>
      <w:r w:rsidR="00AD30AF" w:rsidRPr="005D2D45">
        <w:rPr>
          <w:rFonts w:ascii="Verdana" w:hAnsi="Verdana" w:cs="Arial"/>
          <w:sz w:val="22"/>
          <w:szCs w:val="22"/>
        </w:rPr>
        <w:t xml:space="preserve"> ou Distrital</w:t>
      </w:r>
      <w:r w:rsidRPr="005D2D45">
        <w:rPr>
          <w:rFonts w:ascii="Verdana" w:hAnsi="Verdana" w:cs="Arial"/>
          <w:sz w:val="22"/>
          <w:szCs w:val="22"/>
        </w:rPr>
        <w:t xml:space="preserve"> do domicílio ou sede do licitante, ou outra equivalente, na forma da Lei</w:t>
      </w:r>
      <w:r w:rsidR="00A74842" w:rsidRPr="005D2D45">
        <w:rPr>
          <w:rFonts w:ascii="Verdana" w:hAnsi="Verdana" w:cs="Arial"/>
          <w:sz w:val="22"/>
          <w:szCs w:val="22"/>
        </w:rPr>
        <w:t xml:space="preserve"> (CND-ESTADUAL)</w:t>
      </w:r>
      <w:r w:rsidR="00AD30AF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AD30AF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Certidão de regularidade com a Fazenda Municipal do domicílio ou sede do licitante, ou outra equivalente, na forma da Lei</w:t>
      </w:r>
      <w:r w:rsidR="00DC09E2" w:rsidRPr="005D2D45">
        <w:rPr>
          <w:rFonts w:ascii="Verdana" w:hAnsi="Verdana" w:cs="Arial"/>
          <w:sz w:val="22"/>
          <w:szCs w:val="22"/>
        </w:rPr>
        <w:t xml:space="preserve"> </w:t>
      </w:r>
      <w:r w:rsidR="00A74842" w:rsidRPr="005D2D45">
        <w:rPr>
          <w:rFonts w:ascii="Verdana" w:hAnsi="Verdana" w:cs="Arial"/>
          <w:sz w:val="22"/>
          <w:szCs w:val="22"/>
        </w:rPr>
        <w:t>(CND-MUNICIPAL)</w:t>
      </w:r>
      <w:r w:rsidR="0072025C" w:rsidRPr="005D2D45">
        <w:rPr>
          <w:rFonts w:ascii="Verdana" w:hAnsi="Verdana" w:cs="Arial"/>
          <w:sz w:val="22"/>
          <w:szCs w:val="22"/>
        </w:rPr>
        <w:t>.</w:t>
      </w:r>
    </w:p>
    <w:p w:rsidR="00900915" w:rsidRPr="005D2D45" w:rsidRDefault="0090091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atesto do documento de cobrança pelo CONTRATANTE dar-se-á se não houver irregularidades no fornecimento do objeto e nos demais documentos apresentados. Caso existam irregularidades o atesto apenas ocorrerá com a eliminação/correção/saneamento das impropriedades, pela CONTRATADA;</w:t>
      </w:r>
    </w:p>
    <w:p w:rsidR="00900915" w:rsidRPr="005D2D45" w:rsidRDefault="00900915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Os documentos de cobrança deverão ser entregues pela CONTRATADA, na Subsecretaria de Infraestrutura e Administração Predial - SIAP, do TRF da 5ª Região, localizada no mezanino do Edifício Sede, situado na Avenida Cais do </w:t>
      </w:r>
      <w:r w:rsidRPr="005D2D45">
        <w:rPr>
          <w:rFonts w:ascii="Verdana" w:hAnsi="Verdana" w:cs="Arial"/>
          <w:sz w:val="22"/>
          <w:szCs w:val="22"/>
        </w:rPr>
        <w:lastRenderedPageBreak/>
        <w:t>Apolo, s/n, Edf. Ministro Djaci Falcão, Bairro do Recife, Recife/PE – CEP: 50030-908 | CNPJ: 24.130.072/0001-11;</w:t>
      </w:r>
    </w:p>
    <w:p w:rsidR="00E836CC" w:rsidRPr="005D2D45" w:rsidRDefault="0072025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Caso o objeto contratado seja faturado em desacordo com as disposições previstas no Edital, neste Termo de Referência e no Instrumento Contratual ou sem a observância das formalidades legais pertinentes, a licitante vencedora deverá emitir e apresentar novo documento de cobrança, não configurando atraso no pagamento;</w:t>
      </w:r>
    </w:p>
    <w:p w:rsidR="00E836CC" w:rsidRPr="005D2D45" w:rsidRDefault="0072025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Após o atesto do documento de cobrança, que deverá ocorrer no prazo de até </w:t>
      </w:r>
      <w:r w:rsidR="000A52E1" w:rsidRPr="005D2D45">
        <w:rPr>
          <w:rFonts w:ascii="Verdana" w:hAnsi="Verdana" w:cs="Arial"/>
          <w:b/>
          <w:sz w:val="22"/>
          <w:szCs w:val="22"/>
        </w:rPr>
        <w:t>10</w:t>
      </w:r>
      <w:r w:rsidR="005B6A89" w:rsidRPr="005D2D45">
        <w:rPr>
          <w:rFonts w:ascii="Verdana" w:hAnsi="Verdana" w:cs="Arial"/>
          <w:b/>
          <w:sz w:val="22"/>
          <w:szCs w:val="22"/>
        </w:rPr>
        <w:t xml:space="preserve"> (</w:t>
      </w:r>
      <w:r w:rsidR="000A52E1" w:rsidRPr="005D2D45">
        <w:rPr>
          <w:rFonts w:ascii="Verdana" w:hAnsi="Verdana" w:cs="Arial"/>
          <w:b/>
          <w:sz w:val="22"/>
          <w:szCs w:val="22"/>
        </w:rPr>
        <w:t>dez</w:t>
      </w:r>
      <w:r w:rsidR="005B6A89" w:rsidRPr="005D2D45">
        <w:rPr>
          <w:rFonts w:ascii="Verdana" w:hAnsi="Verdana" w:cs="Arial"/>
          <w:b/>
          <w:sz w:val="22"/>
          <w:szCs w:val="22"/>
        </w:rPr>
        <w:t>) dias úteis</w:t>
      </w:r>
      <w:r w:rsidR="0026205E" w:rsidRPr="005D2D45">
        <w:rPr>
          <w:rFonts w:ascii="Verdana" w:hAnsi="Verdana" w:cs="Arial"/>
          <w:sz w:val="22"/>
          <w:szCs w:val="22"/>
        </w:rPr>
        <w:t xml:space="preserve">, </w:t>
      </w:r>
      <w:r w:rsidRPr="005D2D45">
        <w:rPr>
          <w:rFonts w:ascii="Verdana" w:hAnsi="Verdana" w:cs="Arial"/>
          <w:sz w:val="22"/>
          <w:szCs w:val="22"/>
        </w:rPr>
        <w:t>contado do seu recebimento</w:t>
      </w:r>
      <w:r w:rsidR="00A4202A" w:rsidRPr="005D2D45">
        <w:rPr>
          <w:rFonts w:ascii="Verdana" w:hAnsi="Verdana" w:cs="Arial"/>
          <w:sz w:val="22"/>
          <w:szCs w:val="22"/>
        </w:rPr>
        <w:t xml:space="preserve"> no protocolo do TRF da 5ª Região</w:t>
      </w:r>
      <w:r w:rsidRPr="005D2D45">
        <w:rPr>
          <w:rFonts w:ascii="Verdana" w:hAnsi="Verdana" w:cs="Arial"/>
          <w:sz w:val="22"/>
          <w:szCs w:val="22"/>
        </w:rPr>
        <w:t xml:space="preserve">, </w:t>
      </w:r>
      <w:r w:rsidR="0026205E" w:rsidRPr="005D2D45">
        <w:rPr>
          <w:rFonts w:ascii="Verdana" w:hAnsi="Verdana" w:cs="Arial"/>
          <w:sz w:val="22"/>
          <w:szCs w:val="22"/>
        </w:rPr>
        <w:t xml:space="preserve">a fiscalização do </w:t>
      </w:r>
      <w:r w:rsidRPr="005D2D45">
        <w:rPr>
          <w:rFonts w:ascii="Verdana" w:hAnsi="Verdana" w:cs="Arial"/>
          <w:sz w:val="22"/>
          <w:szCs w:val="22"/>
        </w:rPr>
        <w:t>contrato dev</w:t>
      </w:r>
      <w:r w:rsidR="00F34219" w:rsidRPr="005D2D45">
        <w:rPr>
          <w:rFonts w:ascii="Verdana" w:hAnsi="Verdana" w:cs="Arial"/>
          <w:sz w:val="22"/>
          <w:szCs w:val="22"/>
        </w:rPr>
        <w:t>erá encaminhá-lo para pagamento;</w:t>
      </w:r>
    </w:p>
    <w:p w:rsidR="00E836CC" w:rsidRPr="00EA21BA" w:rsidRDefault="0072025C" w:rsidP="00C56DFA">
      <w:pPr>
        <w:pStyle w:val="Corpodetexto"/>
        <w:tabs>
          <w:tab w:val="left" w:pos="1134"/>
        </w:tabs>
        <w:spacing w:before="120" w:after="120"/>
        <w:jc w:val="both"/>
        <w:rPr>
          <w:rFonts w:ascii="Verdana" w:hAnsi="Verdana" w:cs="Arial"/>
          <w:bCs/>
          <w:sz w:val="22"/>
          <w:szCs w:val="22"/>
          <w:u w:val="single"/>
        </w:rPr>
      </w:pPr>
      <w:r w:rsidRPr="00EA21BA">
        <w:rPr>
          <w:rFonts w:ascii="Verdana" w:hAnsi="Verdana" w:cs="Arial"/>
          <w:bCs/>
          <w:sz w:val="22"/>
          <w:szCs w:val="22"/>
          <w:u w:val="single"/>
        </w:rPr>
        <w:t xml:space="preserve">DO </w:t>
      </w:r>
      <w:r w:rsidRPr="00EA21BA">
        <w:rPr>
          <w:rFonts w:ascii="Verdana" w:hAnsi="Verdana" w:cs="Arial"/>
          <w:sz w:val="22"/>
          <w:szCs w:val="22"/>
          <w:u w:val="single"/>
        </w:rPr>
        <w:t>PAGAMENTO</w:t>
      </w:r>
    </w:p>
    <w:p w:rsidR="00E836CC" w:rsidRPr="005D2D45" w:rsidRDefault="0072025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pagamento será efetuado, mensalmente, mediante crédito em conta-corrente</w:t>
      </w:r>
      <w:r w:rsidR="005B6A89" w:rsidRPr="005D2D45">
        <w:rPr>
          <w:rFonts w:ascii="Verdana" w:hAnsi="Verdana" w:cs="Arial"/>
          <w:sz w:val="22"/>
          <w:szCs w:val="22"/>
        </w:rPr>
        <w:t xml:space="preserve"> até o </w:t>
      </w:r>
      <w:r w:rsidR="000A52E1" w:rsidRPr="005D2D45">
        <w:rPr>
          <w:rFonts w:ascii="Verdana" w:hAnsi="Verdana" w:cs="Arial"/>
          <w:b/>
          <w:sz w:val="22"/>
          <w:szCs w:val="22"/>
        </w:rPr>
        <w:t>10</w:t>
      </w:r>
      <w:r w:rsidR="005552B1" w:rsidRPr="005D2D45">
        <w:rPr>
          <w:rFonts w:ascii="Verdana" w:hAnsi="Verdana" w:cs="Arial"/>
          <w:b/>
          <w:sz w:val="22"/>
          <w:szCs w:val="22"/>
        </w:rPr>
        <w:t>º (</w:t>
      </w:r>
      <w:r w:rsidR="000A52E1" w:rsidRPr="005D2D45">
        <w:rPr>
          <w:rFonts w:ascii="Verdana" w:hAnsi="Verdana" w:cs="Arial"/>
          <w:b/>
          <w:sz w:val="22"/>
          <w:szCs w:val="22"/>
        </w:rPr>
        <w:t>décimo</w:t>
      </w:r>
      <w:r w:rsidR="005552B1" w:rsidRPr="005D2D45">
        <w:rPr>
          <w:rFonts w:ascii="Verdana" w:hAnsi="Verdana" w:cs="Arial"/>
          <w:b/>
          <w:sz w:val="22"/>
          <w:szCs w:val="22"/>
        </w:rPr>
        <w:t>) dia útil</w:t>
      </w:r>
      <w:r w:rsidR="00950DE5" w:rsidRPr="005D2D45">
        <w:rPr>
          <w:rFonts w:ascii="Verdana" w:hAnsi="Verdana" w:cs="Arial"/>
          <w:sz w:val="22"/>
          <w:szCs w:val="22"/>
        </w:rPr>
        <w:t xml:space="preserve"> após o atesto do documento de cobrança e cumprimento da perfeita realização dos serviços e prévia verificação da regularidade fiscal</w:t>
      </w:r>
      <w:r w:rsidR="005B6A89" w:rsidRPr="005D2D45">
        <w:rPr>
          <w:rFonts w:ascii="Verdana" w:hAnsi="Verdana" w:cs="Arial"/>
          <w:sz w:val="22"/>
          <w:szCs w:val="22"/>
        </w:rPr>
        <w:t xml:space="preserve"> e trabalhista da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="00F34219" w:rsidRPr="005D2D45">
        <w:rPr>
          <w:rFonts w:ascii="Verdana" w:hAnsi="Verdana" w:cs="Arial"/>
          <w:sz w:val="22"/>
          <w:szCs w:val="22"/>
        </w:rPr>
        <w:t>;</w:t>
      </w:r>
      <w:r w:rsidR="005B6A89" w:rsidRPr="005D2D45">
        <w:rPr>
          <w:rFonts w:ascii="Verdana" w:hAnsi="Verdana" w:cs="Arial"/>
          <w:sz w:val="22"/>
          <w:szCs w:val="22"/>
        </w:rPr>
        <w:t xml:space="preserve"> </w:t>
      </w:r>
    </w:p>
    <w:p w:rsidR="00900915" w:rsidRPr="005D2D45" w:rsidRDefault="00900915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valor do pagamento será aquele apresentado no documento de cobrança, descontadas as glosas, conforme o caso;</w:t>
      </w:r>
    </w:p>
    <w:p w:rsidR="00E836CC" w:rsidRPr="005D2D45" w:rsidRDefault="00A4202A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Antes do pagamento, a Administração realizará consulta ao SICAF para verificar a manutenção das condições de habilitação</w:t>
      </w:r>
      <w:r w:rsidR="00DC09E2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A4202A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Constatando-se, junto ao SICAF, a situação de irregularidade da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, proceder-se-á à sua advertência, por escrito, no sentido de que, no prazo de </w:t>
      </w:r>
      <w:r w:rsidRPr="005D2D45">
        <w:rPr>
          <w:rFonts w:ascii="Verdana" w:hAnsi="Verdana" w:cs="Arial"/>
          <w:b/>
          <w:sz w:val="22"/>
          <w:szCs w:val="22"/>
        </w:rPr>
        <w:t>05 (cinco) dias úteis</w:t>
      </w:r>
      <w:r w:rsidRPr="005D2D45">
        <w:rPr>
          <w:rFonts w:ascii="Verdana" w:hAnsi="Verdana" w:cs="Arial"/>
          <w:sz w:val="22"/>
          <w:szCs w:val="22"/>
        </w:rPr>
        <w:t xml:space="preserve">, a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regularize sua situação ou, no mesmo prazo, apresente sua defesa</w:t>
      </w:r>
      <w:r w:rsidR="00DC09E2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A4202A" w:rsidP="002606FA">
      <w:pPr>
        <w:pStyle w:val="Recuodecorpodetexto"/>
        <w:numPr>
          <w:ilvl w:val="3"/>
          <w:numId w:val="1"/>
        </w:numPr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prazo do subitem anterior poderá ser prorrogado uma vez, por igual período, a critério da Administração</w:t>
      </w:r>
      <w:r w:rsidR="00297474">
        <w:rPr>
          <w:rFonts w:ascii="Verdana" w:hAnsi="Verdana" w:cs="Arial"/>
          <w:sz w:val="22"/>
          <w:szCs w:val="22"/>
        </w:rPr>
        <w:t>.</w:t>
      </w:r>
    </w:p>
    <w:p w:rsidR="00E836CC" w:rsidRPr="005D2D45" w:rsidRDefault="00A4202A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Não havendo regularização ou sendo a defesa considerada improcedente, a Administração comunicará aos órgãos responsáveis pela fiscalização da regularidade fiscal quanto à inadimplência do fornecedor, bem como quanto à existência de pagamento a ser efetuado pela Administração, para que sejam acionados os meios pertinentes e necessários para garantir o recebimento de seus créditos;</w:t>
      </w:r>
    </w:p>
    <w:p w:rsidR="00E836CC" w:rsidRPr="005D2D45" w:rsidRDefault="00A4202A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Persistindo a irregularidade, a Administração adotará as medidas necessárias à rescisão do contrato em execução, nos autos dos processos administrativos correspondentes, assegurada à </w:t>
      </w:r>
      <w:r w:rsidR="00E72858" w:rsidRPr="005D2D45">
        <w:rPr>
          <w:rFonts w:ascii="Verdana" w:hAnsi="Verdana" w:cs="Arial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a ampla defesa;</w:t>
      </w:r>
    </w:p>
    <w:p w:rsidR="00E836CC" w:rsidRPr="005D2D45" w:rsidRDefault="00A4202A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Havendo a efetiva prestação de serviços, os pagamentos serão realizados normalmente, até </w:t>
      </w:r>
      <w:r w:rsidRPr="005D2D45">
        <w:rPr>
          <w:rFonts w:ascii="Verdana" w:hAnsi="Verdana" w:cs="Arial"/>
          <w:sz w:val="22"/>
          <w:szCs w:val="22"/>
        </w:rPr>
        <w:tab/>
        <w:t>que se decida pela rescisão contratual, caso a CONTRATADA não regularize sua situação junto ao SICAF;</w:t>
      </w:r>
    </w:p>
    <w:p w:rsidR="00E836CC" w:rsidRPr="005D2D45" w:rsidRDefault="00A4202A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lastRenderedPageBreak/>
        <w:t xml:space="preserve">Somente por motivo de economicidade, segurança nacional ou outro interesse público de alta relevância, devidamente justificado, em qualquer caso, pela máxima autoridade do órgão ou entidade </w:t>
      </w:r>
      <w:r w:rsidR="00183B25" w:rsidRPr="005D2D45">
        <w:rPr>
          <w:rFonts w:ascii="Verdana" w:hAnsi="Verdana" w:cs="Arial"/>
          <w:sz w:val="22"/>
          <w:szCs w:val="22"/>
        </w:rPr>
        <w:t>CONTRATANTE</w:t>
      </w:r>
      <w:r w:rsidRPr="005D2D45">
        <w:rPr>
          <w:rFonts w:ascii="Verdana" w:hAnsi="Verdana" w:cs="Arial"/>
          <w:sz w:val="22"/>
          <w:szCs w:val="22"/>
        </w:rPr>
        <w:t>, não será rescindido o contrato em execução com a CONTRATADA.</w:t>
      </w:r>
    </w:p>
    <w:p w:rsidR="00E836CC" w:rsidRPr="005D2D45" w:rsidRDefault="005B6A8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Nos casos de eventuais atrasos de pagamento, desde que a licitante vencedora não tenha concorrido de alguma forma para tanto, fica </w:t>
      </w:r>
      <w:r w:rsidR="0072025C" w:rsidRPr="005D2D45">
        <w:rPr>
          <w:rFonts w:ascii="Verdana" w:hAnsi="Verdana" w:cs="Arial"/>
          <w:sz w:val="22"/>
          <w:szCs w:val="22"/>
        </w:rPr>
        <w:t>convencionado</w:t>
      </w:r>
      <w:r w:rsidRPr="005D2D45">
        <w:rPr>
          <w:rFonts w:ascii="Verdana" w:hAnsi="Verdana" w:cs="Arial"/>
          <w:sz w:val="22"/>
          <w:szCs w:val="22"/>
        </w:rPr>
        <w:t xml:space="preserve"> que a taxa de atualização financeira devida pelo TRF da 5ª Região, entre a data acima referida e a correspondente ao efetivo adimplemento da obrigação, terá a aplicação da seguinte fórmula:</w:t>
      </w:r>
    </w:p>
    <w:p w:rsidR="0072025C" w:rsidRPr="005D2D45" w:rsidRDefault="0072025C" w:rsidP="005D2D45">
      <w:pPr>
        <w:spacing w:before="120" w:after="120"/>
        <w:jc w:val="center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  <w:bdr w:val="single" w:sz="4" w:space="0" w:color="auto"/>
        </w:rPr>
        <w:t>EM = I x N x VP</w:t>
      </w:r>
      <w:r w:rsidRPr="005D2D45">
        <w:rPr>
          <w:rFonts w:ascii="Verdana" w:hAnsi="Verdana" w:cs="Arial"/>
          <w:sz w:val="22"/>
          <w:szCs w:val="22"/>
        </w:rPr>
        <w:t>, onde: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3"/>
        <w:gridCol w:w="415"/>
        <w:gridCol w:w="6179"/>
      </w:tblGrid>
      <w:tr w:rsidR="0072025C" w:rsidRPr="00505E60" w:rsidTr="00894F5B">
        <w:trPr>
          <w:cantSplit/>
          <w:trHeight w:val="411"/>
        </w:trPr>
        <w:tc>
          <w:tcPr>
            <w:tcW w:w="563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EM</w:t>
            </w:r>
          </w:p>
        </w:tc>
        <w:tc>
          <w:tcPr>
            <w:tcW w:w="415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=</w:t>
            </w:r>
          </w:p>
        </w:tc>
        <w:tc>
          <w:tcPr>
            <w:tcW w:w="6179" w:type="dxa"/>
          </w:tcPr>
          <w:p w:rsidR="0072025C" w:rsidRPr="00505E60" w:rsidRDefault="0072025C" w:rsidP="00505E60">
            <w:pPr>
              <w:ind w:left="-59" w:right="-6"/>
              <w:jc w:val="both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Encargos Moratórios;</w:t>
            </w:r>
          </w:p>
        </w:tc>
      </w:tr>
      <w:tr w:rsidR="0072025C" w:rsidRPr="00505E60" w:rsidTr="00894F5B">
        <w:trPr>
          <w:cantSplit/>
          <w:trHeight w:val="746"/>
        </w:trPr>
        <w:tc>
          <w:tcPr>
            <w:tcW w:w="563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N</w:t>
            </w:r>
            <w:proofErr w:type="gramStart"/>
            <w:r w:rsidRPr="00505E60">
              <w:rPr>
                <w:rFonts w:ascii="Verdana" w:hAnsi="Verdana" w:cs="Arial"/>
                <w:szCs w:val="22"/>
              </w:rPr>
              <w:t xml:space="preserve">  </w:t>
            </w:r>
          </w:p>
        </w:tc>
        <w:tc>
          <w:tcPr>
            <w:tcW w:w="415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proofErr w:type="gramEnd"/>
            <w:r w:rsidRPr="00505E60">
              <w:rPr>
                <w:rFonts w:ascii="Verdana" w:hAnsi="Verdana" w:cs="Arial"/>
                <w:szCs w:val="22"/>
              </w:rPr>
              <w:t>=</w:t>
            </w:r>
          </w:p>
        </w:tc>
        <w:tc>
          <w:tcPr>
            <w:tcW w:w="6179" w:type="dxa"/>
          </w:tcPr>
          <w:p w:rsidR="0072025C" w:rsidRPr="00505E60" w:rsidRDefault="0072025C" w:rsidP="00505E60">
            <w:pPr>
              <w:ind w:left="-55" w:right="-6"/>
              <w:jc w:val="both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Número de dias entre a data prevista para o pagamento e a do efetivo pagamento;</w:t>
            </w:r>
          </w:p>
        </w:tc>
      </w:tr>
      <w:tr w:rsidR="0072025C" w:rsidRPr="00505E60" w:rsidTr="00894F5B">
        <w:trPr>
          <w:cantSplit/>
          <w:trHeight w:val="429"/>
        </w:trPr>
        <w:tc>
          <w:tcPr>
            <w:tcW w:w="563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VP</w:t>
            </w:r>
            <w:proofErr w:type="gramStart"/>
            <w:r w:rsidRPr="00505E60">
              <w:rPr>
                <w:rFonts w:ascii="Verdana" w:hAnsi="Verdana" w:cs="Arial"/>
                <w:szCs w:val="22"/>
              </w:rPr>
              <w:t xml:space="preserve">  </w:t>
            </w:r>
          </w:p>
        </w:tc>
        <w:tc>
          <w:tcPr>
            <w:tcW w:w="415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proofErr w:type="gramEnd"/>
            <w:r w:rsidRPr="00505E60">
              <w:rPr>
                <w:rFonts w:ascii="Verdana" w:hAnsi="Verdana" w:cs="Arial"/>
                <w:szCs w:val="22"/>
              </w:rPr>
              <w:t>=</w:t>
            </w:r>
          </w:p>
        </w:tc>
        <w:tc>
          <w:tcPr>
            <w:tcW w:w="6179" w:type="dxa"/>
          </w:tcPr>
          <w:p w:rsidR="0072025C" w:rsidRPr="00505E60" w:rsidRDefault="0072025C" w:rsidP="00505E60">
            <w:pPr>
              <w:ind w:left="-59" w:right="-6"/>
              <w:jc w:val="both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Valor da parcela a ser paga;</w:t>
            </w:r>
          </w:p>
        </w:tc>
      </w:tr>
      <w:tr w:rsidR="0072025C" w:rsidRPr="00505E60" w:rsidTr="00894F5B">
        <w:trPr>
          <w:cantSplit/>
          <w:trHeight w:val="621"/>
        </w:trPr>
        <w:tc>
          <w:tcPr>
            <w:tcW w:w="563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 xml:space="preserve">I     </w:t>
            </w:r>
          </w:p>
        </w:tc>
        <w:tc>
          <w:tcPr>
            <w:tcW w:w="415" w:type="dxa"/>
          </w:tcPr>
          <w:p w:rsidR="0072025C" w:rsidRPr="00505E60" w:rsidRDefault="0072025C" w:rsidP="00505E60">
            <w:pPr>
              <w:ind w:right="-6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=</w:t>
            </w:r>
          </w:p>
        </w:tc>
        <w:tc>
          <w:tcPr>
            <w:tcW w:w="6179" w:type="dxa"/>
          </w:tcPr>
          <w:p w:rsidR="0072025C" w:rsidRPr="00505E60" w:rsidRDefault="0072025C" w:rsidP="00505E60">
            <w:pPr>
              <w:ind w:left="-59" w:right="-6"/>
              <w:jc w:val="both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Índice de atualização financeira = 0,0001644, assim apurado:</w:t>
            </w:r>
          </w:p>
        </w:tc>
      </w:tr>
      <w:tr w:rsidR="0072025C" w:rsidRPr="00505E60" w:rsidTr="00894F5B">
        <w:trPr>
          <w:cantSplit/>
          <w:trHeight w:val="984"/>
        </w:trPr>
        <w:tc>
          <w:tcPr>
            <w:tcW w:w="563" w:type="dxa"/>
          </w:tcPr>
          <w:p w:rsidR="0072025C" w:rsidRPr="00505E60" w:rsidRDefault="0072025C" w:rsidP="00505E60">
            <w:pPr>
              <w:ind w:right="-6"/>
              <w:jc w:val="both"/>
              <w:rPr>
                <w:rFonts w:ascii="Verdana" w:hAnsi="Verdana" w:cs="Arial"/>
                <w:szCs w:val="22"/>
              </w:rPr>
            </w:pPr>
          </w:p>
        </w:tc>
        <w:tc>
          <w:tcPr>
            <w:tcW w:w="415" w:type="dxa"/>
          </w:tcPr>
          <w:p w:rsidR="0072025C" w:rsidRPr="00505E60" w:rsidRDefault="0072025C" w:rsidP="00505E60">
            <w:pPr>
              <w:ind w:right="-6"/>
              <w:jc w:val="both"/>
              <w:rPr>
                <w:rFonts w:ascii="Verdana" w:hAnsi="Verdana" w:cs="Arial"/>
                <w:szCs w:val="22"/>
              </w:rPr>
            </w:pPr>
          </w:p>
        </w:tc>
        <w:tc>
          <w:tcPr>
            <w:tcW w:w="6179" w:type="dxa"/>
          </w:tcPr>
          <w:p w:rsidR="0072025C" w:rsidRPr="00505E60" w:rsidRDefault="0072025C" w:rsidP="00505E60">
            <w:pPr>
              <w:ind w:right="-6"/>
              <w:jc w:val="both"/>
              <w:rPr>
                <w:rFonts w:ascii="Verdana" w:hAnsi="Verdana" w:cs="Arial"/>
                <w:szCs w:val="22"/>
                <w:lang w:val="en-US"/>
              </w:rPr>
            </w:pPr>
            <w:r w:rsidRPr="00505E60">
              <w:rPr>
                <w:rFonts w:ascii="Verdana" w:hAnsi="Verdana" w:cs="Arial"/>
                <w:szCs w:val="22"/>
                <w:lang w:val="en-US"/>
              </w:rPr>
              <w:t>I = (</w:t>
            </w:r>
            <w:r w:rsidRPr="00505E60">
              <w:rPr>
                <w:rFonts w:ascii="Verdana" w:hAnsi="Verdana" w:cs="Arial"/>
                <w:szCs w:val="22"/>
                <w:u w:val="single"/>
                <w:lang w:val="en-US"/>
              </w:rPr>
              <w:t>TX/100</w:t>
            </w:r>
            <w:r w:rsidRPr="00505E60">
              <w:rPr>
                <w:rFonts w:ascii="Verdana" w:hAnsi="Verdana" w:cs="Arial"/>
                <w:szCs w:val="22"/>
                <w:lang w:val="en-US"/>
              </w:rPr>
              <w:t xml:space="preserve">)   </w:t>
            </w:r>
            <w:r w:rsidRPr="00505E60">
              <w:rPr>
                <w:rFonts w:ascii="Verdana" w:hAnsi="Verdana" w:cs="Arial"/>
                <w:szCs w:val="22"/>
                <w:lang w:val="en-US"/>
              </w:rPr>
              <w:sym w:font="Symbol" w:char="00AE"/>
            </w:r>
            <w:r w:rsidRPr="00505E60">
              <w:rPr>
                <w:rFonts w:ascii="Verdana" w:hAnsi="Verdana" w:cs="Arial"/>
                <w:szCs w:val="22"/>
                <w:lang w:val="en-US"/>
              </w:rPr>
              <w:t xml:space="preserve">   I = (</w:t>
            </w:r>
            <w:r w:rsidRPr="00505E60">
              <w:rPr>
                <w:rFonts w:ascii="Verdana" w:hAnsi="Verdana" w:cs="Arial"/>
                <w:szCs w:val="22"/>
                <w:u w:val="single"/>
                <w:lang w:val="en-US"/>
              </w:rPr>
              <w:t>6/100</w:t>
            </w:r>
            <w:r w:rsidRPr="00505E60">
              <w:rPr>
                <w:rFonts w:ascii="Verdana" w:hAnsi="Verdana" w:cs="Arial"/>
                <w:szCs w:val="22"/>
                <w:lang w:val="en-US"/>
              </w:rPr>
              <w:t xml:space="preserve">)   </w:t>
            </w:r>
            <w:r w:rsidRPr="00505E60">
              <w:rPr>
                <w:rFonts w:ascii="Verdana" w:hAnsi="Verdana" w:cs="Arial"/>
                <w:szCs w:val="22"/>
                <w:lang w:val="en-US"/>
              </w:rPr>
              <w:sym w:font="Symbol" w:char="00AE"/>
            </w:r>
            <w:r w:rsidRPr="00505E60">
              <w:rPr>
                <w:rFonts w:ascii="Verdana" w:hAnsi="Verdana" w:cs="Arial"/>
                <w:szCs w:val="22"/>
                <w:lang w:val="en-US"/>
              </w:rPr>
              <w:t xml:space="preserve">   I = 0,0001644</w:t>
            </w:r>
          </w:p>
          <w:p w:rsidR="0072025C" w:rsidRPr="00505E60" w:rsidRDefault="0072025C" w:rsidP="00505E60">
            <w:pPr>
              <w:numPr>
                <w:ilvl w:val="0"/>
                <w:numId w:val="3"/>
              </w:numPr>
              <w:ind w:right="-6"/>
              <w:jc w:val="both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  <w:lang w:val="en-US"/>
              </w:rPr>
              <w:t xml:space="preserve">   </w:t>
            </w:r>
            <w:r w:rsidRPr="00505E60">
              <w:rPr>
                <w:rFonts w:ascii="Verdana" w:hAnsi="Verdana" w:cs="Arial"/>
                <w:szCs w:val="22"/>
              </w:rPr>
              <w:t>365</w:t>
            </w:r>
          </w:p>
          <w:p w:rsidR="0072025C" w:rsidRPr="00505E60" w:rsidRDefault="0072025C" w:rsidP="00505E60">
            <w:pPr>
              <w:ind w:right="-6"/>
              <w:jc w:val="both"/>
              <w:rPr>
                <w:rFonts w:ascii="Verdana" w:hAnsi="Verdana" w:cs="Arial"/>
                <w:szCs w:val="22"/>
              </w:rPr>
            </w:pPr>
            <w:r w:rsidRPr="00505E60">
              <w:rPr>
                <w:rFonts w:ascii="Verdana" w:hAnsi="Verdana" w:cs="Arial"/>
                <w:szCs w:val="22"/>
              </w:rPr>
              <w:t>TX = Percentual da taxa anual = 6%</w:t>
            </w:r>
          </w:p>
        </w:tc>
      </w:tr>
    </w:tbl>
    <w:p w:rsidR="00F23E8A" w:rsidRPr="005D2D45" w:rsidRDefault="00F23E8A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A4202A" w:rsidRPr="005D2D45" w:rsidRDefault="00A4202A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DA PLANILHA DE COMPOSIÇÃO DOS PREÇOS</w:t>
      </w:r>
    </w:p>
    <w:p w:rsidR="00E836CC" w:rsidRPr="005D2D45" w:rsidRDefault="007E22AC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Para efeito de proposta a licitante deverá apresentar planilha detalhada de composição de preços tendo como parâmetro o modelo descrito abaixo:</w:t>
      </w:r>
    </w:p>
    <w:tbl>
      <w:tblPr>
        <w:tblpPr w:leftFromText="141" w:rightFromText="141" w:vertAnchor="text" w:horzAnchor="margin" w:tblpX="68" w:tblpY="67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276"/>
        <w:gridCol w:w="1275"/>
        <w:gridCol w:w="1134"/>
        <w:gridCol w:w="1093"/>
      </w:tblGrid>
      <w:tr w:rsidR="002A150A" w:rsidRPr="00EA21BA" w:rsidTr="00EA0678">
        <w:trPr>
          <w:trHeight w:val="948"/>
        </w:trPr>
        <w:tc>
          <w:tcPr>
            <w:tcW w:w="779" w:type="dxa"/>
            <w:shd w:val="clear" w:color="auto" w:fill="CCCCCC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>Item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>Descrição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 xml:space="preserve">Unidade </w:t>
            </w:r>
          </w:p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proofErr w:type="gramStart"/>
            <w:r w:rsidRPr="00EA21BA">
              <w:rPr>
                <w:rFonts w:ascii="Verdana" w:hAnsi="Verdana" w:cs="Arial"/>
                <w:b/>
                <w:szCs w:val="22"/>
              </w:rPr>
              <w:t>de</w:t>
            </w:r>
            <w:proofErr w:type="gramEnd"/>
            <w:r w:rsidRPr="00EA21BA">
              <w:rPr>
                <w:rFonts w:ascii="Verdana" w:hAnsi="Verdana" w:cs="Arial"/>
                <w:b/>
                <w:szCs w:val="22"/>
              </w:rPr>
              <w:t xml:space="preserve"> </w:t>
            </w:r>
          </w:p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>Medida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AE0F76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>Qtd</w:t>
            </w:r>
            <w:r w:rsidR="00AE0F76" w:rsidRPr="00EA21BA">
              <w:rPr>
                <w:rFonts w:ascii="Verdana" w:hAnsi="Verdana" w:cs="Arial"/>
                <w:b/>
                <w:szCs w:val="22"/>
              </w:rPr>
              <w:t>.</w:t>
            </w:r>
          </w:p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>Anual estimada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D06971" w:rsidRPr="00EA21BA" w:rsidRDefault="002A150A" w:rsidP="00EA21BA">
            <w:pPr>
              <w:ind w:right="72"/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 xml:space="preserve">Valor Unitário </w:t>
            </w:r>
          </w:p>
        </w:tc>
        <w:tc>
          <w:tcPr>
            <w:tcW w:w="1093" w:type="dxa"/>
            <w:shd w:val="clear" w:color="auto" w:fill="CCCCCC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EA21BA">
              <w:rPr>
                <w:rFonts w:ascii="Verdana" w:hAnsi="Verdana" w:cs="Arial"/>
                <w:b/>
                <w:szCs w:val="22"/>
              </w:rPr>
              <w:t>Valor Total Anual</w:t>
            </w:r>
          </w:p>
        </w:tc>
      </w:tr>
      <w:tr w:rsidR="002A150A" w:rsidRPr="00EA21BA" w:rsidTr="00EA0678">
        <w:trPr>
          <w:trHeight w:val="467"/>
        </w:trPr>
        <w:tc>
          <w:tcPr>
            <w:tcW w:w="779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  <w:proofErr w:type="gramStart"/>
            <w:r w:rsidRPr="00EA21BA">
              <w:rPr>
                <w:rFonts w:ascii="Verdana" w:hAnsi="Verdana" w:cs="Arial"/>
                <w:szCs w:val="22"/>
              </w:rPr>
              <w:t>1</w:t>
            </w:r>
            <w:proofErr w:type="gramEnd"/>
          </w:p>
        </w:tc>
        <w:tc>
          <w:tcPr>
            <w:tcW w:w="3544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  <w:r w:rsidRPr="00EA21BA">
              <w:rPr>
                <w:rFonts w:ascii="Verdana" w:hAnsi="Verdana" w:cs="Arial"/>
                <w:szCs w:val="22"/>
              </w:rPr>
              <w:t>Locação de Caçamba Estacionária</w:t>
            </w:r>
          </w:p>
        </w:tc>
        <w:tc>
          <w:tcPr>
            <w:tcW w:w="1276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  <w:r w:rsidRPr="00EA21BA">
              <w:rPr>
                <w:rFonts w:ascii="Verdana" w:hAnsi="Verdana" w:cs="Arial"/>
                <w:szCs w:val="22"/>
              </w:rPr>
              <w:t>Unidade</w:t>
            </w:r>
          </w:p>
        </w:tc>
        <w:tc>
          <w:tcPr>
            <w:tcW w:w="1275" w:type="dxa"/>
            <w:vAlign w:val="center"/>
          </w:tcPr>
          <w:p w:rsidR="002A150A" w:rsidRPr="00EA21BA" w:rsidRDefault="00634478" w:rsidP="00EA21BA">
            <w:pPr>
              <w:ind w:right="72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2A150A" w:rsidRPr="00EA21BA" w:rsidRDefault="002A150A" w:rsidP="00EA21BA">
            <w:pPr>
              <w:ind w:right="72"/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2A150A" w:rsidRPr="00EA21BA" w:rsidTr="00EA0678">
        <w:trPr>
          <w:trHeight w:val="467"/>
        </w:trPr>
        <w:tc>
          <w:tcPr>
            <w:tcW w:w="779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  <w:proofErr w:type="gramStart"/>
            <w:r w:rsidRPr="00EA21BA">
              <w:rPr>
                <w:rFonts w:ascii="Verdana" w:hAnsi="Verdana" w:cs="Arial"/>
                <w:szCs w:val="22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  <w:r w:rsidRPr="00EA21BA">
              <w:rPr>
                <w:rFonts w:ascii="Verdana" w:hAnsi="Verdana" w:cs="Arial"/>
                <w:szCs w:val="22"/>
              </w:rPr>
              <w:t>Destinação final de resíduos</w:t>
            </w:r>
          </w:p>
        </w:tc>
        <w:tc>
          <w:tcPr>
            <w:tcW w:w="1276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  <w:r w:rsidRPr="00EA21BA">
              <w:rPr>
                <w:rFonts w:ascii="Verdana" w:hAnsi="Verdana" w:cs="Arial"/>
                <w:szCs w:val="22"/>
              </w:rPr>
              <w:t>Tonelada</w:t>
            </w:r>
          </w:p>
        </w:tc>
        <w:tc>
          <w:tcPr>
            <w:tcW w:w="1275" w:type="dxa"/>
            <w:vAlign w:val="center"/>
          </w:tcPr>
          <w:p w:rsidR="002A150A" w:rsidRPr="00EA21BA" w:rsidRDefault="00634478" w:rsidP="00EA21BA">
            <w:pPr>
              <w:ind w:right="72"/>
              <w:jc w:val="center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2A150A" w:rsidRPr="00EA21BA" w:rsidRDefault="002A150A" w:rsidP="00EA21BA">
            <w:pPr>
              <w:ind w:right="72"/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1093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</w:p>
        </w:tc>
      </w:tr>
      <w:tr w:rsidR="002A150A" w:rsidRPr="00EA21BA" w:rsidTr="00EA0678">
        <w:trPr>
          <w:trHeight w:val="467"/>
        </w:trPr>
        <w:tc>
          <w:tcPr>
            <w:tcW w:w="8008" w:type="dxa"/>
            <w:gridSpan w:val="5"/>
            <w:vAlign w:val="center"/>
          </w:tcPr>
          <w:p w:rsidR="00D06971" w:rsidRPr="00EA21BA" w:rsidRDefault="002A150A" w:rsidP="00EA21BA">
            <w:pPr>
              <w:ind w:right="72"/>
              <w:rPr>
                <w:rFonts w:ascii="Verdana" w:hAnsi="Verdana" w:cs="Arial"/>
                <w:szCs w:val="22"/>
              </w:rPr>
            </w:pPr>
            <w:r w:rsidRPr="00EA21BA">
              <w:rPr>
                <w:rFonts w:ascii="Verdana" w:hAnsi="Verdana" w:cs="Arial"/>
                <w:szCs w:val="22"/>
              </w:rPr>
              <w:t>Valor Global (por extenso)</w:t>
            </w:r>
            <w:r w:rsidR="00894F5B" w:rsidRPr="00EA21BA">
              <w:rPr>
                <w:rFonts w:ascii="Verdana" w:hAnsi="Verdana" w:cs="Arial"/>
                <w:szCs w:val="22"/>
              </w:rPr>
              <w:t>:</w:t>
            </w:r>
          </w:p>
        </w:tc>
        <w:tc>
          <w:tcPr>
            <w:tcW w:w="1093" w:type="dxa"/>
            <w:vAlign w:val="center"/>
          </w:tcPr>
          <w:p w:rsidR="002A150A" w:rsidRPr="00EA21BA" w:rsidRDefault="002A150A" w:rsidP="00EA21BA">
            <w:pPr>
              <w:jc w:val="center"/>
              <w:rPr>
                <w:rFonts w:ascii="Verdana" w:hAnsi="Verdana" w:cs="Arial"/>
                <w:szCs w:val="22"/>
              </w:rPr>
            </w:pPr>
          </w:p>
        </w:tc>
      </w:tr>
    </w:tbl>
    <w:p w:rsidR="00E836CC" w:rsidRPr="005D2D45" w:rsidRDefault="00A4202A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Nos preços indicados na planilha de preços acima deverão estar incluídos todos os custos, benefícios, encargos, tributos e demais contribuições pertinentes à execução contratual.</w:t>
      </w:r>
    </w:p>
    <w:p w:rsidR="00F92C19" w:rsidRPr="005D2D45" w:rsidRDefault="00F92C19" w:rsidP="005D2D45">
      <w:pPr>
        <w:pStyle w:val="Corpodetexto"/>
        <w:spacing w:before="120" w:after="120"/>
        <w:ind w:left="1418"/>
        <w:jc w:val="both"/>
        <w:rPr>
          <w:rFonts w:ascii="Verdana" w:hAnsi="Verdana" w:cs="Arial"/>
          <w:sz w:val="22"/>
          <w:szCs w:val="22"/>
        </w:rPr>
      </w:pPr>
    </w:p>
    <w:p w:rsidR="00F92C19" w:rsidRPr="005D2D45" w:rsidRDefault="00F92C19" w:rsidP="005D2D45">
      <w:pPr>
        <w:pStyle w:val="Recuodecorpodetexto"/>
        <w:numPr>
          <w:ilvl w:val="0"/>
          <w:numId w:val="1"/>
        </w:numPr>
        <w:tabs>
          <w:tab w:val="left" w:pos="567"/>
        </w:tabs>
        <w:spacing w:before="120" w:after="120"/>
        <w:rPr>
          <w:rFonts w:ascii="Verdana" w:hAnsi="Verdana"/>
          <w:b/>
          <w:bCs/>
          <w:sz w:val="22"/>
          <w:szCs w:val="22"/>
        </w:rPr>
      </w:pPr>
      <w:r w:rsidRPr="005D2D45">
        <w:rPr>
          <w:rFonts w:ascii="Verdana" w:hAnsi="Verdana"/>
          <w:b/>
          <w:bCs/>
          <w:sz w:val="22"/>
          <w:szCs w:val="22"/>
        </w:rPr>
        <w:t>DO REAJUSTE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Courier New"/>
          <w:sz w:val="22"/>
          <w:szCs w:val="22"/>
        </w:rPr>
      </w:pPr>
      <w:r w:rsidRPr="005D2D45">
        <w:rPr>
          <w:rFonts w:ascii="Verdana" w:hAnsi="Verdana" w:cs="Courier New"/>
          <w:sz w:val="22"/>
          <w:szCs w:val="22"/>
        </w:rPr>
        <w:lastRenderedPageBreak/>
        <w:t xml:space="preserve">O reajuste </w:t>
      </w:r>
      <w:r w:rsidRPr="00C56DFA">
        <w:rPr>
          <w:rFonts w:ascii="Verdana" w:hAnsi="Verdana" w:cs="Arial"/>
          <w:sz w:val="22"/>
          <w:szCs w:val="22"/>
        </w:rPr>
        <w:t>de</w:t>
      </w:r>
      <w:r w:rsidRPr="005D2D45">
        <w:rPr>
          <w:rFonts w:ascii="Verdana" w:hAnsi="Verdana" w:cs="Courier New"/>
          <w:sz w:val="22"/>
          <w:szCs w:val="22"/>
        </w:rPr>
        <w:t xml:space="preserve"> preços poderá ser utilizado na presente contratação, desde que </w:t>
      </w:r>
      <w:r w:rsidRPr="005D2D45">
        <w:rPr>
          <w:rFonts w:ascii="Verdana" w:hAnsi="Verdana" w:cs="Arial"/>
          <w:sz w:val="22"/>
          <w:szCs w:val="22"/>
        </w:rPr>
        <w:t>seja</w:t>
      </w:r>
      <w:r w:rsidRPr="005D2D45">
        <w:rPr>
          <w:rFonts w:ascii="Verdana" w:hAnsi="Verdana" w:cs="Courier New"/>
          <w:sz w:val="22"/>
          <w:szCs w:val="22"/>
        </w:rPr>
        <w:t xml:space="preserve"> observado o interregno mínimo de 01 (um) ano da data-limite para apresentação das propostas constante deste edital, em relação aos custos com insumos e materiais necessários à execução do objeto;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Courier New"/>
          <w:sz w:val="22"/>
          <w:szCs w:val="22"/>
        </w:rPr>
      </w:pPr>
      <w:r w:rsidRPr="005D2D45">
        <w:rPr>
          <w:rFonts w:ascii="Verdana" w:hAnsi="Verdana" w:cs="Courier New"/>
          <w:sz w:val="22"/>
          <w:szCs w:val="22"/>
        </w:rPr>
        <w:t xml:space="preserve">Será considerado índice inicial o da data da apresentação de proposta, com </w:t>
      </w:r>
      <w:r w:rsidRPr="005D2D45">
        <w:rPr>
          <w:rFonts w:ascii="Verdana" w:hAnsi="Verdana" w:cs="Arial"/>
          <w:sz w:val="22"/>
          <w:szCs w:val="22"/>
        </w:rPr>
        <w:t>base</w:t>
      </w:r>
      <w:r w:rsidRPr="005D2D45">
        <w:rPr>
          <w:rFonts w:ascii="Verdana" w:hAnsi="Verdana" w:cs="Courier New"/>
          <w:sz w:val="22"/>
          <w:szCs w:val="22"/>
        </w:rPr>
        <w:t xml:space="preserve"> na seguinte fórmula (Decreto nº 1.054/94 e Lei nº 10.192/01):</w:t>
      </w:r>
    </w:p>
    <w:p w:rsidR="00F92C19" w:rsidRPr="005D2D45" w:rsidRDefault="00F92C19" w:rsidP="00505E60">
      <w:pPr>
        <w:tabs>
          <w:tab w:val="num" w:pos="989"/>
        </w:tabs>
        <w:ind w:left="567"/>
        <w:jc w:val="center"/>
        <w:rPr>
          <w:rFonts w:ascii="Verdana" w:hAnsi="Verdana" w:cs="Courier New"/>
          <w:b/>
          <w:sz w:val="22"/>
          <w:szCs w:val="22"/>
        </w:rPr>
      </w:pPr>
      <w:r w:rsidRPr="005D2D45">
        <w:rPr>
          <w:rFonts w:ascii="Verdana" w:hAnsi="Verdana" w:cs="Courier New"/>
          <w:b/>
          <w:sz w:val="22"/>
          <w:szCs w:val="22"/>
        </w:rPr>
        <w:t xml:space="preserve">R= </w:t>
      </w:r>
      <w:r w:rsidRPr="005D2D45">
        <w:rPr>
          <w:rFonts w:ascii="Verdana" w:hAnsi="Verdana" w:cs="Courier New"/>
          <w:b/>
          <w:sz w:val="22"/>
          <w:szCs w:val="22"/>
          <w:u w:val="single"/>
        </w:rPr>
        <w:t>V x I</w:t>
      </w:r>
      <w:r w:rsidRPr="005D2D45">
        <w:rPr>
          <w:rFonts w:ascii="Verdana" w:hAnsi="Verdana" w:cs="Courier New"/>
          <w:b/>
          <w:sz w:val="22"/>
          <w:szCs w:val="22"/>
        </w:rPr>
        <w:t xml:space="preserve"> – Io</w:t>
      </w:r>
    </w:p>
    <w:p w:rsidR="00F92C19" w:rsidRPr="005D2D45" w:rsidRDefault="00F92C19" w:rsidP="00505E60">
      <w:pPr>
        <w:tabs>
          <w:tab w:val="num" w:pos="989"/>
        </w:tabs>
        <w:ind w:left="567"/>
        <w:jc w:val="center"/>
        <w:rPr>
          <w:rFonts w:ascii="Verdana" w:hAnsi="Verdana" w:cs="Courier New"/>
          <w:b/>
          <w:sz w:val="22"/>
          <w:szCs w:val="22"/>
        </w:rPr>
      </w:pPr>
      <w:r w:rsidRPr="005D2D45">
        <w:rPr>
          <w:rFonts w:ascii="Verdana" w:hAnsi="Verdana" w:cs="Courier New"/>
          <w:b/>
          <w:sz w:val="22"/>
          <w:szCs w:val="22"/>
        </w:rPr>
        <w:t>Io</w:t>
      </w:r>
    </w:p>
    <w:p w:rsidR="00F92C19" w:rsidRPr="00505E60" w:rsidRDefault="00F92C19" w:rsidP="005D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89"/>
        </w:tabs>
        <w:spacing w:before="120" w:after="120"/>
        <w:ind w:left="567"/>
        <w:jc w:val="both"/>
        <w:rPr>
          <w:rFonts w:ascii="Verdana" w:hAnsi="Verdana" w:cs="Courier New"/>
          <w:szCs w:val="22"/>
        </w:rPr>
      </w:pPr>
      <w:r w:rsidRPr="00505E60">
        <w:rPr>
          <w:rFonts w:ascii="Verdana" w:hAnsi="Verdana" w:cs="Courier New"/>
          <w:b/>
          <w:szCs w:val="22"/>
        </w:rPr>
        <w:t>Sendo</w:t>
      </w:r>
      <w:r w:rsidRPr="00505E60">
        <w:rPr>
          <w:rFonts w:ascii="Verdana" w:hAnsi="Verdana" w:cs="Courier New"/>
          <w:szCs w:val="22"/>
        </w:rPr>
        <w:t xml:space="preserve">: </w:t>
      </w:r>
    </w:p>
    <w:p w:rsidR="00F92C19" w:rsidRPr="00505E60" w:rsidRDefault="00F92C19" w:rsidP="005D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89"/>
        </w:tabs>
        <w:spacing w:before="120" w:after="120"/>
        <w:ind w:left="567"/>
        <w:jc w:val="both"/>
        <w:rPr>
          <w:rFonts w:ascii="Verdana" w:hAnsi="Verdana" w:cs="Courier New"/>
          <w:szCs w:val="22"/>
        </w:rPr>
      </w:pPr>
      <w:r w:rsidRPr="00505E60">
        <w:rPr>
          <w:rFonts w:ascii="Verdana" w:hAnsi="Verdana" w:cs="Courier New"/>
          <w:szCs w:val="22"/>
        </w:rPr>
        <w:t>R = Valor do reajuste procurado;</w:t>
      </w:r>
    </w:p>
    <w:p w:rsidR="00F92C19" w:rsidRPr="00505E60" w:rsidRDefault="00F92C19" w:rsidP="005D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89"/>
        </w:tabs>
        <w:spacing w:before="120" w:after="120"/>
        <w:ind w:left="567"/>
        <w:jc w:val="both"/>
        <w:rPr>
          <w:rFonts w:ascii="Verdana" w:hAnsi="Verdana" w:cs="Courier New"/>
          <w:szCs w:val="22"/>
        </w:rPr>
      </w:pPr>
      <w:r w:rsidRPr="00505E60">
        <w:rPr>
          <w:rFonts w:ascii="Verdana" w:hAnsi="Verdana" w:cs="Courier New"/>
          <w:szCs w:val="22"/>
        </w:rPr>
        <w:t>V = Valor contratual da locação;</w:t>
      </w:r>
    </w:p>
    <w:p w:rsidR="00F92C19" w:rsidRPr="00505E60" w:rsidRDefault="00F92C19" w:rsidP="005D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89"/>
        </w:tabs>
        <w:spacing w:before="120" w:after="120"/>
        <w:ind w:left="567"/>
        <w:jc w:val="both"/>
        <w:rPr>
          <w:rFonts w:ascii="Verdana" w:hAnsi="Verdana" w:cs="Courier New"/>
          <w:szCs w:val="22"/>
        </w:rPr>
      </w:pPr>
      <w:r w:rsidRPr="00505E60">
        <w:rPr>
          <w:rFonts w:ascii="Verdana" w:hAnsi="Verdana" w:cs="Courier New"/>
          <w:szCs w:val="22"/>
        </w:rPr>
        <w:t>I = Índice relativo ao mês do reajuste;</w:t>
      </w:r>
    </w:p>
    <w:p w:rsidR="00F92C19" w:rsidRPr="00505E60" w:rsidRDefault="00F92C19" w:rsidP="005D2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989"/>
        </w:tabs>
        <w:spacing w:before="120" w:after="120"/>
        <w:ind w:left="567"/>
        <w:jc w:val="both"/>
        <w:rPr>
          <w:rFonts w:ascii="Verdana" w:hAnsi="Verdana" w:cs="Courier New"/>
          <w:szCs w:val="22"/>
        </w:rPr>
      </w:pPr>
      <w:r w:rsidRPr="00505E60">
        <w:rPr>
          <w:rFonts w:ascii="Verdana" w:hAnsi="Verdana" w:cs="Courier New"/>
          <w:szCs w:val="22"/>
        </w:rPr>
        <w:t>Io = Índice inicial – refere-se ao índice de custos ou de preços correspondentes ao mês da e</w:t>
      </w:r>
      <w:r w:rsidR="003C0BFD" w:rsidRPr="00505E60">
        <w:rPr>
          <w:rFonts w:ascii="Verdana" w:hAnsi="Verdana" w:cs="Courier New"/>
          <w:szCs w:val="22"/>
        </w:rPr>
        <w:t>ntrega da proposta da licitação.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Courier New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 índice a ser </w:t>
      </w:r>
      <w:r w:rsidRPr="005D2D45">
        <w:rPr>
          <w:rFonts w:ascii="Verdana" w:hAnsi="Verdana" w:cs="Courier New"/>
          <w:sz w:val="22"/>
          <w:szCs w:val="22"/>
        </w:rPr>
        <w:t>utilizado</w:t>
      </w:r>
      <w:r w:rsidRPr="005D2D45">
        <w:rPr>
          <w:rFonts w:ascii="Verdana" w:hAnsi="Verdana" w:cs="Arial"/>
          <w:sz w:val="22"/>
          <w:szCs w:val="22"/>
        </w:rPr>
        <w:t xml:space="preserve"> para o cálculo do reajustamento do contrato é </w:t>
      </w:r>
      <w:r w:rsidRPr="005D2D45">
        <w:rPr>
          <w:rFonts w:ascii="Verdana" w:hAnsi="Verdana" w:cs="Courier New"/>
          <w:sz w:val="22"/>
          <w:szCs w:val="22"/>
        </w:rPr>
        <w:t xml:space="preserve">o </w:t>
      </w:r>
      <w:r w:rsidRPr="005D2D45">
        <w:rPr>
          <w:rFonts w:ascii="Verdana" w:hAnsi="Verdana"/>
          <w:b/>
          <w:bCs/>
          <w:sz w:val="22"/>
          <w:szCs w:val="22"/>
        </w:rPr>
        <w:t>Índice Nacional de Preços ao Consumidor Amplo - IPCA</w:t>
      </w:r>
      <w:r w:rsidRPr="005D2D45">
        <w:rPr>
          <w:rFonts w:ascii="Verdana" w:hAnsi="Verdana" w:cs="Courier New"/>
          <w:sz w:val="22"/>
          <w:szCs w:val="22"/>
        </w:rPr>
        <w:t xml:space="preserve"> divulgado pelo </w:t>
      </w:r>
      <w:r w:rsidRPr="005D2D45">
        <w:rPr>
          <w:rFonts w:ascii="Verdana" w:hAnsi="Verdana" w:cs="Courier New"/>
          <w:b/>
          <w:sz w:val="22"/>
          <w:szCs w:val="22"/>
        </w:rPr>
        <w:t>Instituto Brasileiro de Geografia e Estatística - IBGE</w:t>
      </w:r>
      <w:r w:rsidRPr="005D2D45">
        <w:rPr>
          <w:rFonts w:ascii="Verdana" w:hAnsi="Verdana" w:cs="Courier New"/>
          <w:sz w:val="22"/>
          <w:szCs w:val="22"/>
        </w:rPr>
        <w:t>, ou outro índice que venha a substituí-lo;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Os </w:t>
      </w:r>
      <w:r w:rsidRPr="00C56DFA">
        <w:rPr>
          <w:rFonts w:ascii="Verdana" w:hAnsi="Verdana" w:cs="Courier New"/>
          <w:sz w:val="22"/>
          <w:szCs w:val="22"/>
        </w:rPr>
        <w:t>reajustes</w:t>
      </w:r>
      <w:r w:rsidRPr="005D2D45">
        <w:rPr>
          <w:rFonts w:ascii="Verdana" w:hAnsi="Verdana" w:cs="Arial"/>
          <w:sz w:val="22"/>
          <w:szCs w:val="22"/>
        </w:rPr>
        <w:t xml:space="preserve"> serão precedidos obrigatoriamente de solicitação da CONTRATADA, </w:t>
      </w:r>
      <w:r w:rsidRPr="005D2D45">
        <w:rPr>
          <w:rFonts w:ascii="Verdana" w:hAnsi="Verdana" w:cs="Courier New"/>
          <w:sz w:val="22"/>
          <w:szCs w:val="22"/>
        </w:rPr>
        <w:t>acompanhada</w:t>
      </w:r>
      <w:r w:rsidRPr="005D2D45">
        <w:rPr>
          <w:rFonts w:ascii="Verdana" w:hAnsi="Verdana" w:cs="Arial"/>
          <w:sz w:val="22"/>
          <w:szCs w:val="22"/>
        </w:rPr>
        <w:t xml:space="preserve"> de memorial do cálculo, conforme for </w:t>
      </w:r>
      <w:proofErr w:type="gramStart"/>
      <w:r w:rsidRPr="005D2D45">
        <w:rPr>
          <w:rFonts w:ascii="Verdana" w:hAnsi="Verdana" w:cs="Arial"/>
          <w:sz w:val="22"/>
          <w:szCs w:val="22"/>
        </w:rPr>
        <w:t>a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variação de custos objeto do reajuste;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É vedada a inclusão, por ocasião do reajustem de itens de insumos e materiais não previstos na proposta inicial, exceto quando se tornarem obrigatórios por força de instrumento legal, sentença normativa, acordo coletivo ou convenção coletiva;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A </w:t>
      </w:r>
      <w:r w:rsidRPr="00C56DFA">
        <w:rPr>
          <w:rFonts w:ascii="Verdana" w:hAnsi="Verdana" w:cs="Courier New"/>
          <w:sz w:val="22"/>
          <w:szCs w:val="22"/>
        </w:rPr>
        <w:t>decisão</w:t>
      </w:r>
      <w:r w:rsidRPr="005D2D45">
        <w:rPr>
          <w:rFonts w:ascii="Verdana" w:hAnsi="Verdana" w:cs="Arial"/>
          <w:sz w:val="22"/>
          <w:szCs w:val="22"/>
        </w:rPr>
        <w:t xml:space="preserve"> sobre o pedido de reajuste deve ser feita no prazo máximo de </w:t>
      </w:r>
      <w:r w:rsidRPr="005D2D45">
        <w:rPr>
          <w:rFonts w:ascii="Verdana" w:hAnsi="Verdana" w:cs="Arial"/>
          <w:b/>
          <w:sz w:val="22"/>
          <w:szCs w:val="22"/>
        </w:rPr>
        <w:t>60 (</w:t>
      </w:r>
      <w:r w:rsidRPr="005D2D45">
        <w:rPr>
          <w:rFonts w:ascii="Verdana" w:hAnsi="Verdana" w:cs="Courier New"/>
          <w:b/>
          <w:sz w:val="22"/>
          <w:szCs w:val="22"/>
        </w:rPr>
        <w:t>sessenta</w:t>
      </w:r>
      <w:r w:rsidRPr="005D2D45">
        <w:rPr>
          <w:rFonts w:ascii="Verdana" w:hAnsi="Verdana" w:cs="Arial"/>
          <w:b/>
          <w:sz w:val="22"/>
          <w:szCs w:val="22"/>
        </w:rPr>
        <w:t>) dias</w:t>
      </w:r>
      <w:r w:rsidR="00F060FD" w:rsidRPr="005D2D45">
        <w:rPr>
          <w:rFonts w:ascii="Verdana" w:hAnsi="Verdana" w:cs="Arial"/>
          <w:sz w:val="22"/>
          <w:szCs w:val="22"/>
        </w:rPr>
        <w:t xml:space="preserve"> </w:t>
      </w:r>
      <w:r w:rsidR="00F060FD" w:rsidRPr="005D2D45">
        <w:rPr>
          <w:rFonts w:ascii="Verdana" w:hAnsi="Verdana" w:cs="Arial"/>
          <w:b/>
          <w:sz w:val="22"/>
          <w:szCs w:val="22"/>
        </w:rPr>
        <w:t>corridos</w:t>
      </w:r>
      <w:r w:rsidRPr="005D2D45">
        <w:rPr>
          <w:rFonts w:ascii="Verdana" w:hAnsi="Verdana" w:cs="Arial"/>
          <w:sz w:val="22"/>
          <w:szCs w:val="22"/>
        </w:rPr>
        <w:t>, contados a partir da solicitação e da entrega dos comprovantes de variação dos custos;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Os reajustes serão formalizados por meio de apostilamento e não poderão alterar o equilíbrio econômico-financeiro dos contratos;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 prazo referido no </w:t>
      </w:r>
      <w:r w:rsidRPr="005D2D45">
        <w:rPr>
          <w:rFonts w:ascii="Verdana" w:hAnsi="Verdana" w:cs="Arial"/>
          <w:b/>
          <w:sz w:val="22"/>
          <w:szCs w:val="22"/>
        </w:rPr>
        <w:t xml:space="preserve">subitem </w:t>
      </w:r>
      <w:r w:rsidR="009E0012" w:rsidRPr="005D2D45">
        <w:rPr>
          <w:rFonts w:ascii="Verdana" w:hAnsi="Verdana" w:cs="Arial"/>
          <w:b/>
          <w:sz w:val="22"/>
          <w:szCs w:val="22"/>
        </w:rPr>
        <w:t>15.</w:t>
      </w:r>
      <w:r w:rsidRPr="005D2D45">
        <w:rPr>
          <w:rFonts w:ascii="Verdana" w:hAnsi="Verdana" w:cs="Arial"/>
          <w:b/>
          <w:sz w:val="22"/>
          <w:szCs w:val="22"/>
        </w:rPr>
        <w:t>6.</w:t>
      </w:r>
      <w:r w:rsidRPr="005D2D45">
        <w:rPr>
          <w:rFonts w:ascii="Verdana" w:hAnsi="Verdana" w:cs="Arial"/>
          <w:sz w:val="22"/>
          <w:szCs w:val="22"/>
        </w:rPr>
        <w:t xml:space="preserve"> </w:t>
      </w:r>
      <w:proofErr w:type="gramStart"/>
      <w:r w:rsidRPr="005D2D45">
        <w:rPr>
          <w:rFonts w:ascii="Verdana" w:hAnsi="Verdana" w:cs="Arial"/>
          <w:sz w:val="22"/>
          <w:szCs w:val="22"/>
        </w:rPr>
        <w:t>ficará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suspenso enquanto a </w:t>
      </w:r>
      <w:r w:rsidRPr="00C56DFA">
        <w:rPr>
          <w:rFonts w:ascii="Verdana" w:hAnsi="Verdana" w:cs="Courier New"/>
          <w:sz w:val="22"/>
          <w:szCs w:val="22"/>
        </w:rPr>
        <w:t>CONTRATADA</w:t>
      </w:r>
      <w:r w:rsidRPr="005D2D45">
        <w:rPr>
          <w:rFonts w:ascii="Verdana" w:hAnsi="Verdana" w:cs="Arial"/>
          <w:sz w:val="22"/>
          <w:szCs w:val="22"/>
        </w:rPr>
        <w:t xml:space="preserve"> não cumprir os atos ou apresentar a documentação solicitada pela CONTRATANTE para a comprovação da variação dos custos;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Os reajustes a que a CONTRATADA fizer jus e não forem solicitados durante a </w:t>
      </w:r>
      <w:r w:rsidRPr="005D2D45">
        <w:rPr>
          <w:rFonts w:ascii="Verdana" w:hAnsi="Verdana" w:cs="Courier New"/>
          <w:sz w:val="22"/>
          <w:szCs w:val="22"/>
        </w:rPr>
        <w:t>vigência</w:t>
      </w:r>
      <w:r w:rsidRPr="005D2D45">
        <w:rPr>
          <w:rFonts w:ascii="Verdana" w:hAnsi="Verdana" w:cs="Arial"/>
          <w:sz w:val="22"/>
          <w:szCs w:val="22"/>
        </w:rPr>
        <w:t xml:space="preserve"> do contrato </w:t>
      </w:r>
      <w:proofErr w:type="gramStart"/>
      <w:r w:rsidRPr="005D2D45">
        <w:rPr>
          <w:rFonts w:ascii="Verdana" w:hAnsi="Verdana" w:cs="Arial"/>
          <w:sz w:val="22"/>
          <w:szCs w:val="22"/>
        </w:rPr>
        <w:t>serão</w:t>
      </w:r>
      <w:proofErr w:type="gramEnd"/>
      <w:r w:rsidRPr="005D2D45">
        <w:rPr>
          <w:rFonts w:ascii="Verdana" w:hAnsi="Verdana" w:cs="Arial"/>
          <w:sz w:val="22"/>
          <w:szCs w:val="22"/>
        </w:rPr>
        <w:t xml:space="preserve"> objeto de preclusão com o encerramento do contrato;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 xml:space="preserve">Os novos valores contratuais decorrentes dos reajustes terão suas vigências </w:t>
      </w:r>
      <w:r w:rsidRPr="00C56DFA">
        <w:rPr>
          <w:rFonts w:ascii="Verdana" w:hAnsi="Verdana" w:cs="Courier New"/>
          <w:sz w:val="22"/>
          <w:szCs w:val="22"/>
        </w:rPr>
        <w:t>iniciadas</w:t>
      </w:r>
      <w:r w:rsidRPr="005D2D45">
        <w:rPr>
          <w:rFonts w:ascii="Verdana" w:hAnsi="Verdana" w:cs="Arial"/>
          <w:sz w:val="22"/>
          <w:szCs w:val="22"/>
        </w:rPr>
        <w:t xml:space="preserve"> do interregno mínimo de </w:t>
      </w:r>
      <w:r w:rsidRPr="005D2D45">
        <w:rPr>
          <w:rFonts w:ascii="Verdana" w:hAnsi="Verdana" w:cs="Arial"/>
          <w:b/>
          <w:sz w:val="22"/>
          <w:szCs w:val="22"/>
        </w:rPr>
        <w:t>01 (um) ano</w:t>
      </w:r>
      <w:r w:rsidRPr="005D2D45">
        <w:rPr>
          <w:rFonts w:ascii="Verdana" w:hAnsi="Verdana" w:cs="Arial"/>
          <w:sz w:val="22"/>
          <w:szCs w:val="22"/>
        </w:rPr>
        <w:t xml:space="preserve"> da data de ocorrência do fato gerador que deu causa ao reajuste, ou seja, do aniversário da data-limite para apresentação das propostas constante deste edital, em relação aos custos com insumos e materiais necessários à execução do objeto contratado;</w:t>
      </w:r>
    </w:p>
    <w:p w:rsidR="00F92C19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lastRenderedPageBreak/>
        <w:t>Os efeitos financeiros do reajuste ocorrerão exclusivamente para os itens que o motivaram, e apenas em relação à diferença porventura existente;</w:t>
      </w:r>
    </w:p>
    <w:p w:rsidR="002A150A" w:rsidRPr="005D2D45" w:rsidRDefault="00F92C19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O reajuste não interfere no direito das partes de solicitar, a qualquer momento, a manutenção do equilíbrio econômico-financeiro dos contratos com base no disposto no art. 65 da Lei nº 8.666/93.</w:t>
      </w:r>
    </w:p>
    <w:p w:rsidR="00F92C19" w:rsidRPr="005D2D45" w:rsidRDefault="00F92C19" w:rsidP="005D2D45">
      <w:pPr>
        <w:pStyle w:val="Recuodecorpodetexto2"/>
        <w:spacing w:before="120" w:after="120"/>
        <w:ind w:firstLine="0"/>
        <w:rPr>
          <w:rFonts w:ascii="Verdana" w:hAnsi="Verdana" w:cs="Arial"/>
          <w:b/>
          <w:bCs/>
          <w:strike w:val="0"/>
          <w:sz w:val="22"/>
          <w:szCs w:val="22"/>
        </w:rPr>
      </w:pPr>
    </w:p>
    <w:p w:rsidR="00A4202A" w:rsidRPr="005D2D45" w:rsidRDefault="00A4202A" w:rsidP="005D2D45">
      <w:pPr>
        <w:pStyle w:val="Corpodetexto"/>
        <w:numPr>
          <w:ilvl w:val="0"/>
          <w:numId w:val="1"/>
        </w:numPr>
        <w:tabs>
          <w:tab w:val="left" w:pos="567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b/>
          <w:sz w:val="22"/>
          <w:szCs w:val="22"/>
        </w:rPr>
        <w:t>DA SELEÇÃO DOS FORNECEDORES</w:t>
      </w:r>
    </w:p>
    <w:p w:rsidR="009331B2" w:rsidRPr="005D2D45" w:rsidRDefault="009331B2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</w:rPr>
        <w:t>Forma: Indireta;</w:t>
      </w:r>
    </w:p>
    <w:p w:rsidR="009331B2" w:rsidRPr="005D2D45" w:rsidRDefault="009331B2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C56DFA">
        <w:rPr>
          <w:rFonts w:ascii="Verdana" w:hAnsi="Verdana" w:cs="Courier New"/>
          <w:sz w:val="22"/>
          <w:szCs w:val="22"/>
        </w:rPr>
        <w:t>M</w:t>
      </w:r>
      <w:r w:rsidR="00950DE5" w:rsidRPr="00C56DFA">
        <w:rPr>
          <w:rFonts w:ascii="Verdana" w:hAnsi="Verdana" w:cs="Courier New"/>
          <w:sz w:val="22"/>
          <w:szCs w:val="22"/>
        </w:rPr>
        <w:t>odalidade</w:t>
      </w:r>
      <w:r w:rsidR="00950DE5" w:rsidRPr="005D2D45">
        <w:rPr>
          <w:rFonts w:ascii="Verdana" w:hAnsi="Verdana" w:cs="Arial"/>
          <w:sz w:val="22"/>
          <w:szCs w:val="22"/>
        </w:rPr>
        <w:t>: Pregão Eletrônico</w:t>
      </w:r>
      <w:r w:rsidR="00F34219" w:rsidRPr="005D2D45">
        <w:rPr>
          <w:rFonts w:ascii="Verdana" w:hAnsi="Verdana" w:cs="Arial"/>
          <w:sz w:val="22"/>
          <w:szCs w:val="22"/>
        </w:rPr>
        <w:t>;</w:t>
      </w:r>
    </w:p>
    <w:p w:rsidR="00E836CC" w:rsidRPr="005D2D45" w:rsidRDefault="00417199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b/>
          <w:sz w:val="22"/>
          <w:szCs w:val="22"/>
        </w:rPr>
      </w:pPr>
      <w:r w:rsidRPr="005D2D45">
        <w:rPr>
          <w:rFonts w:ascii="Verdana" w:hAnsi="Verdana"/>
          <w:sz w:val="22"/>
          <w:szCs w:val="22"/>
          <w:u w:val="single"/>
        </w:rPr>
        <w:t>Justificativa</w:t>
      </w:r>
      <w:r w:rsidRPr="005D2D45">
        <w:rPr>
          <w:rFonts w:ascii="Verdana" w:hAnsi="Verdana"/>
          <w:sz w:val="22"/>
          <w:szCs w:val="22"/>
        </w:rPr>
        <w:t xml:space="preserve">: </w:t>
      </w:r>
      <w:r w:rsidR="009331B2" w:rsidRPr="005D2D45">
        <w:rPr>
          <w:rFonts w:ascii="Verdana" w:hAnsi="Verdana"/>
          <w:sz w:val="22"/>
          <w:szCs w:val="22"/>
        </w:rPr>
        <w:t>O objeto caracterizado pelo termo de referência teve padrão de qualidade e desempenho definidos objetivamente, além de tratar-se de objeto plenamente disponível no mercado. Desse modo, consoante previsão do art. 1º da Lei nº 10.520/02 c/c art. 2º do Dec. Fed. nº 5.450/05, o pretendido certame licitatório deverá ser processado na modalidade pregão.</w:t>
      </w:r>
      <w:r w:rsidR="00950DE5" w:rsidRPr="005D2D45">
        <w:rPr>
          <w:rFonts w:ascii="Verdana" w:hAnsi="Verdana" w:cs="Arial"/>
          <w:sz w:val="22"/>
          <w:szCs w:val="22"/>
        </w:rPr>
        <w:t xml:space="preserve"> </w:t>
      </w:r>
    </w:p>
    <w:p w:rsidR="009331B2" w:rsidRPr="005D2D45" w:rsidRDefault="004151C1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C56DFA">
        <w:rPr>
          <w:rFonts w:ascii="Verdana" w:hAnsi="Verdana" w:cs="Courier New"/>
          <w:sz w:val="22"/>
          <w:szCs w:val="22"/>
        </w:rPr>
        <w:t>Critério</w:t>
      </w:r>
      <w:r w:rsidRPr="005D2D45">
        <w:rPr>
          <w:rFonts w:ascii="Verdana" w:hAnsi="Verdana" w:cs="Arial"/>
          <w:sz w:val="22"/>
          <w:szCs w:val="22"/>
        </w:rPr>
        <w:t xml:space="preserve"> de Julgamento</w:t>
      </w:r>
      <w:r w:rsidR="00950DE5" w:rsidRPr="005D2D45">
        <w:rPr>
          <w:rFonts w:ascii="Verdana" w:hAnsi="Verdana" w:cs="Arial"/>
          <w:sz w:val="22"/>
          <w:szCs w:val="22"/>
        </w:rPr>
        <w:t>: Menor Preço</w:t>
      </w:r>
      <w:r w:rsidR="00E811C2" w:rsidRPr="005D2D45">
        <w:rPr>
          <w:rFonts w:ascii="Verdana" w:hAnsi="Verdana" w:cs="Arial"/>
          <w:sz w:val="22"/>
          <w:szCs w:val="22"/>
        </w:rPr>
        <w:t xml:space="preserve"> Global</w:t>
      </w:r>
      <w:r w:rsidR="009331B2" w:rsidRPr="005D2D45">
        <w:rPr>
          <w:rFonts w:ascii="Verdana" w:hAnsi="Verdana" w:cs="Arial"/>
          <w:sz w:val="22"/>
          <w:szCs w:val="22"/>
        </w:rPr>
        <w:t>;</w:t>
      </w:r>
    </w:p>
    <w:p w:rsidR="00E811C2" w:rsidRDefault="00E811C2" w:rsidP="00C56DFA">
      <w:pPr>
        <w:pStyle w:val="Corpodetexto"/>
        <w:numPr>
          <w:ilvl w:val="2"/>
          <w:numId w:val="1"/>
        </w:numPr>
        <w:tabs>
          <w:tab w:val="left" w:pos="2410"/>
        </w:tabs>
        <w:spacing w:before="120" w:after="120"/>
        <w:ind w:left="1134" w:firstLine="0"/>
        <w:jc w:val="both"/>
        <w:rPr>
          <w:rFonts w:ascii="Verdana" w:hAnsi="Verdana" w:cs="Arial"/>
          <w:sz w:val="22"/>
          <w:szCs w:val="22"/>
        </w:rPr>
      </w:pPr>
      <w:r w:rsidRPr="005D2D45">
        <w:rPr>
          <w:rFonts w:ascii="Verdana" w:hAnsi="Verdana" w:cs="Arial"/>
          <w:sz w:val="22"/>
          <w:szCs w:val="22"/>
          <w:u w:val="single"/>
        </w:rPr>
        <w:t>Justificativa</w:t>
      </w:r>
      <w:r w:rsidRPr="005D2D45">
        <w:rPr>
          <w:rFonts w:ascii="Verdana" w:hAnsi="Verdana" w:cs="Arial"/>
          <w:sz w:val="22"/>
          <w:szCs w:val="22"/>
        </w:rPr>
        <w:t xml:space="preserve">: Em face da inviabilidade técnica de divisibilidade do serviço a ser contratado. </w:t>
      </w:r>
    </w:p>
    <w:p w:rsidR="00297474" w:rsidRDefault="00297474" w:rsidP="00297474">
      <w:pPr>
        <w:pStyle w:val="Recuodecorpodetexto"/>
        <w:numPr>
          <w:ilvl w:val="3"/>
          <w:numId w:val="1"/>
        </w:numPr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297474">
        <w:rPr>
          <w:rFonts w:ascii="Verdana" w:hAnsi="Verdana" w:cs="Arial"/>
          <w:sz w:val="22"/>
          <w:szCs w:val="22"/>
        </w:rPr>
        <w:t>A opção pela licitação por itens parece não ser adequada. Caso isso venha a acontecer, vislumbramos a possibilidade de transtornos e até mesmo de eventuais prejuízos para a Administração, conforme demonstrado a seguir.</w:t>
      </w:r>
      <w:r>
        <w:rPr>
          <w:rFonts w:ascii="Verdana" w:hAnsi="Verdana" w:cs="Arial"/>
          <w:sz w:val="22"/>
          <w:szCs w:val="22"/>
        </w:rPr>
        <w:t xml:space="preserve"> </w:t>
      </w:r>
    </w:p>
    <w:p w:rsidR="00297474" w:rsidRPr="00297474" w:rsidRDefault="00297474" w:rsidP="00297474">
      <w:pPr>
        <w:pStyle w:val="Recuodecorpodetexto"/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297474">
        <w:rPr>
          <w:rFonts w:ascii="Verdana" w:hAnsi="Verdana" w:cs="Arial"/>
          <w:sz w:val="22"/>
          <w:szCs w:val="22"/>
        </w:rPr>
        <w:t xml:space="preserve">Se houver descompasso entre os dois certames, poderemos ficar diante de um cenário onde as caçambas seriam disponibilizadas para a coleta dos resíduos e ficariam sem a devida destinação enquanto não resolvida </w:t>
      </w:r>
      <w:proofErr w:type="gramStart"/>
      <w:r w:rsidRPr="00297474">
        <w:rPr>
          <w:rFonts w:ascii="Verdana" w:hAnsi="Verdana" w:cs="Arial"/>
          <w:sz w:val="22"/>
          <w:szCs w:val="22"/>
        </w:rPr>
        <w:t>a</w:t>
      </w:r>
      <w:proofErr w:type="gramEnd"/>
      <w:r w:rsidRPr="00297474">
        <w:rPr>
          <w:rFonts w:ascii="Verdana" w:hAnsi="Verdana" w:cs="Arial"/>
          <w:sz w:val="22"/>
          <w:szCs w:val="22"/>
        </w:rPr>
        <w:t xml:space="preserve"> contratação da empresa para a destinação final dos resíduos, ou o contrário.</w:t>
      </w:r>
    </w:p>
    <w:p w:rsidR="00297474" w:rsidRPr="00297474" w:rsidRDefault="00297474" w:rsidP="00297474">
      <w:pPr>
        <w:pStyle w:val="Recuodecorpodetexto"/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297474">
        <w:rPr>
          <w:rFonts w:ascii="Verdana" w:hAnsi="Verdana" w:cs="Arial"/>
          <w:sz w:val="22"/>
          <w:szCs w:val="22"/>
        </w:rPr>
        <w:t xml:space="preserve">Por prática do mercado, a empresa proprietária das caçambas estacionárias é responsável pela locação e transporte, bem como a destinação final dos resíduos de forma adequada e sustentável, sendo inviável que uma segunda empresa por ventura contratada para a destinação dos resíduos, executasse seus serviços, uma vez que os materiais estariam acondicionados nas caçambas da primeira. </w:t>
      </w:r>
    </w:p>
    <w:p w:rsidR="00297474" w:rsidRPr="00297474" w:rsidRDefault="00297474" w:rsidP="00297474">
      <w:pPr>
        <w:pStyle w:val="Recuodecorpodetexto"/>
        <w:tabs>
          <w:tab w:val="left" w:pos="3828"/>
        </w:tabs>
        <w:spacing w:before="120" w:after="120"/>
        <w:ind w:left="2410" w:firstLine="0"/>
        <w:rPr>
          <w:rFonts w:ascii="Verdana" w:hAnsi="Verdana" w:cs="Arial"/>
          <w:sz w:val="22"/>
          <w:szCs w:val="22"/>
        </w:rPr>
      </w:pPr>
      <w:r w:rsidRPr="00297474">
        <w:rPr>
          <w:rFonts w:ascii="Verdana" w:hAnsi="Verdana" w:cs="Arial"/>
          <w:sz w:val="22"/>
          <w:szCs w:val="22"/>
        </w:rPr>
        <w:t>Estes problemas podem ser evitados nomeando-se um único responsável pela locação das caçambas estacionárias, seu transporte e destinação final dos materiais.</w:t>
      </w:r>
    </w:p>
    <w:p w:rsidR="00E836CC" w:rsidRPr="005D2D45" w:rsidRDefault="009331B2" w:rsidP="00C56DFA">
      <w:pPr>
        <w:pStyle w:val="Corpodetexto"/>
        <w:numPr>
          <w:ilvl w:val="1"/>
          <w:numId w:val="1"/>
        </w:numPr>
        <w:tabs>
          <w:tab w:val="left" w:pos="1134"/>
        </w:tabs>
        <w:spacing w:before="120" w:after="120"/>
        <w:ind w:left="0" w:firstLine="0"/>
        <w:jc w:val="both"/>
        <w:rPr>
          <w:rFonts w:ascii="Verdana" w:hAnsi="Verdana" w:cs="Arial"/>
          <w:b/>
          <w:sz w:val="22"/>
          <w:szCs w:val="22"/>
        </w:rPr>
      </w:pPr>
      <w:r w:rsidRPr="00C56DFA">
        <w:rPr>
          <w:rFonts w:ascii="Verdana" w:hAnsi="Verdana" w:cs="Courier New"/>
          <w:sz w:val="22"/>
          <w:szCs w:val="22"/>
        </w:rPr>
        <w:lastRenderedPageBreak/>
        <w:t>Regime</w:t>
      </w:r>
      <w:r w:rsidRPr="005D2D45">
        <w:rPr>
          <w:rFonts w:ascii="Verdana" w:hAnsi="Verdana" w:cs="Arial"/>
          <w:sz w:val="22"/>
          <w:szCs w:val="22"/>
        </w:rPr>
        <w:t xml:space="preserve"> de </w:t>
      </w:r>
      <w:r w:rsidR="00E811C2" w:rsidRPr="005D2D45">
        <w:rPr>
          <w:rFonts w:ascii="Verdana" w:hAnsi="Verdana" w:cs="Arial"/>
          <w:sz w:val="22"/>
          <w:szCs w:val="22"/>
        </w:rPr>
        <w:t>Execução</w:t>
      </w:r>
      <w:r w:rsidRPr="005D2D45">
        <w:rPr>
          <w:rFonts w:ascii="Verdana" w:hAnsi="Verdana" w:cs="Arial"/>
          <w:sz w:val="22"/>
          <w:szCs w:val="22"/>
        </w:rPr>
        <w:t xml:space="preserve">: </w:t>
      </w:r>
      <w:r w:rsidR="00E811C2" w:rsidRPr="005D2D45">
        <w:rPr>
          <w:rFonts w:ascii="Verdana" w:hAnsi="Verdana" w:cs="Arial"/>
          <w:sz w:val="22"/>
          <w:szCs w:val="22"/>
        </w:rPr>
        <w:t xml:space="preserve">Empreitada por preço unitário, nos termos do art. 6º, </w:t>
      </w:r>
      <w:r w:rsidR="00D33455" w:rsidRPr="005D2D45">
        <w:rPr>
          <w:rFonts w:ascii="Verdana" w:hAnsi="Verdana" w:cs="Arial"/>
          <w:sz w:val="22"/>
          <w:szCs w:val="22"/>
        </w:rPr>
        <w:t>inciso</w:t>
      </w:r>
      <w:r w:rsidR="00E811C2" w:rsidRPr="005D2D45">
        <w:rPr>
          <w:rFonts w:ascii="Verdana" w:hAnsi="Verdana" w:cs="Arial"/>
          <w:sz w:val="22"/>
          <w:szCs w:val="22"/>
        </w:rPr>
        <w:t xml:space="preserve"> VIII, alínea "b" da Lei Federal nº 8.666/93</w:t>
      </w:r>
      <w:r w:rsidR="00950DE5" w:rsidRPr="005D2D45">
        <w:rPr>
          <w:rFonts w:ascii="Verdana" w:hAnsi="Verdana" w:cs="Arial"/>
          <w:sz w:val="22"/>
          <w:szCs w:val="22"/>
        </w:rPr>
        <w:t>.</w:t>
      </w:r>
    </w:p>
    <w:p w:rsidR="0075426E" w:rsidRPr="00B87CF2" w:rsidRDefault="0075426E" w:rsidP="005D2D45">
      <w:pPr>
        <w:spacing w:before="120" w:after="120"/>
        <w:ind w:right="-1"/>
        <w:jc w:val="both"/>
        <w:rPr>
          <w:rFonts w:ascii="Verdana" w:hAnsi="Verdana" w:cs="Arial"/>
          <w:sz w:val="22"/>
          <w:szCs w:val="22"/>
        </w:rPr>
      </w:pPr>
    </w:p>
    <w:p w:rsidR="00B87CF2" w:rsidRDefault="00B87CF2" w:rsidP="00B87CF2">
      <w:pPr>
        <w:jc w:val="center"/>
        <w:rPr>
          <w:rFonts w:ascii="Verdana" w:hAnsi="Verdana" w:cs="Arial"/>
          <w:sz w:val="22"/>
          <w:szCs w:val="22"/>
        </w:rPr>
      </w:pPr>
      <w:r w:rsidRPr="00B87CF2">
        <w:rPr>
          <w:rFonts w:ascii="Verdana" w:hAnsi="Verdana" w:cs="Arial"/>
          <w:sz w:val="22"/>
          <w:szCs w:val="22"/>
        </w:rPr>
        <w:t>Equipe de Planejamento da Contratação.</w:t>
      </w:r>
    </w:p>
    <w:p w:rsidR="00B87CF2" w:rsidRPr="00B87CF2" w:rsidRDefault="00B87CF2" w:rsidP="00B87CF2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5"/>
        <w:gridCol w:w="3367"/>
      </w:tblGrid>
      <w:tr w:rsidR="00B87CF2" w:rsidRPr="00B87CF2" w:rsidTr="00F93D8F">
        <w:tc>
          <w:tcPr>
            <w:tcW w:w="2802" w:type="dxa"/>
            <w:vAlign w:val="center"/>
          </w:tcPr>
          <w:p w:rsidR="00B87CF2" w:rsidRPr="00B87CF2" w:rsidRDefault="00B87CF2" w:rsidP="00F93D8F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B87CF2">
              <w:rPr>
                <w:rFonts w:ascii="Verdana" w:hAnsi="Verdana" w:cs="Arial"/>
                <w:b/>
                <w:szCs w:val="22"/>
              </w:rPr>
              <w:t>Ernani Lucena Maciel</w:t>
            </w:r>
          </w:p>
        </w:tc>
        <w:tc>
          <w:tcPr>
            <w:tcW w:w="3275" w:type="dxa"/>
            <w:vAlign w:val="center"/>
          </w:tcPr>
          <w:p w:rsidR="00B87CF2" w:rsidRPr="00B87CF2" w:rsidRDefault="00B87CF2" w:rsidP="00F93D8F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B87CF2">
              <w:rPr>
                <w:rFonts w:ascii="Verdana" w:hAnsi="Verdana" w:cs="Arial"/>
                <w:b/>
                <w:szCs w:val="22"/>
              </w:rPr>
              <w:t>Flávia Bello Cabral de Melo</w:t>
            </w:r>
          </w:p>
        </w:tc>
        <w:tc>
          <w:tcPr>
            <w:tcW w:w="3367" w:type="dxa"/>
            <w:vAlign w:val="center"/>
          </w:tcPr>
          <w:p w:rsidR="00B87CF2" w:rsidRPr="00B87CF2" w:rsidRDefault="00B87CF2" w:rsidP="00F93D8F">
            <w:pPr>
              <w:jc w:val="center"/>
              <w:rPr>
                <w:rFonts w:ascii="Verdana" w:hAnsi="Verdana" w:cs="Arial"/>
                <w:b/>
                <w:szCs w:val="22"/>
              </w:rPr>
            </w:pPr>
            <w:r w:rsidRPr="00B87CF2">
              <w:rPr>
                <w:rFonts w:ascii="Verdana" w:hAnsi="Verdana" w:cs="Arial"/>
                <w:b/>
                <w:szCs w:val="22"/>
              </w:rPr>
              <w:t>Paulo Roberto Galvão de Araújo</w:t>
            </w:r>
          </w:p>
        </w:tc>
      </w:tr>
      <w:tr w:rsidR="00B87CF2" w:rsidRPr="00B87CF2" w:rsidTr="00F93D8F">
        <w:tc>
          <w:tcPr>
            <w:tcW w:w="2802" w:type="dxa"/>
            <w:vAlign w:val="center"/>
          </w:tcPr>
          <w:p w:rsidR="00B87CF2" w:rsidRPr="00B87CF2" w:rsidRDefault="00B87CF2" w:rsidP="00F93D8F">
            <w:pPr>
              <w:jc w:val="center"/>
              <w:rPr>
                <w:rFonts w:ascii="Verdana" w:hAnsi="Verdana" w:cs="Arial"/>
                <w:szCs w:val="22"/>
              </w:rPr>
            </w:pPr>
            <w:r w:rsidRPr="00B87CF2">
              <w:rPr>
                <w:rFonts w:ascii="Verdana" w:hAnsi="Verdana" w:cs="Arial"/>
                <w:szCs w:val="22"/>
              </w:rPr>
              <w:t>Integrante Requisitante</w:t>
            </w:r>
          </w:p>
        </w:tc>
        <w:tc>
          <w:tcPr>
            <w:tcW w:w="3275" w:type="dxa"/>
            <w:vAlign w:val="center"/>
          </w:tcPr>
          <w:p w:rsidR="00B87CF2" w:rsidRPr="00B87CF2" w:rsidRDefault="00B87CF2" w:rsidP="00F93D8F">
            <w:pPr>
              <w:jc w:val="center"/>
              <w:rPr>
                <w:rFonts w:ascii="Verdana" w:hAnsi="Verdana" w:cs="Arial"/>
                <w:szCs w:val="22"/>
              </w:rPr>
            </w:pPr>
            <w:r w:rsidRPr="00B87CF2">
              <w:rPr>
                <w:rFonts w:ascii="Verdana" w:hAnsi="Verdana" w:cs="Arial"/>
                <w:szCs w:val="22"/>
              </w:rPr>
              <w:t>Integrante Técnico</w:t>
            </w:r>
          </w:p>
        </w:tc>
        <w:tc>
          <w:tcPr>
            <w:tcW w:w="3367" w:type="dxa"/>
            <w:vAlign w:val="center"/>
          </w:tcPr>
          <w:p w:rsidR="00B87CF2" w:rsidRPr="00B87CF2" w:rsidRDefault="00B87CF2" w:rsidP="00F93D8F">
            <w:pPr>
              <w:jc w:val="center"/>
              <w:rPr>
                <w:rFonts w:ascii="Verdana" w:hAnsi="Verdana" w:cs="Arial"/>
                <w:szCs w:val="22"/>
              </w:rPr>
            </w:pPr>
            <w:r w:rsidRPr="00B87CF2">
              <w:rPr>
                <w:rFonts w:ascii="Verdana" w:hAnsi="Verdana" w:cs="Arial"/>
                <w:szCs w:val="22"/>
              </w:rPr>
              <w:t>Integrante Administrativo</w:t>
            </w:r>
          </w:p>
        </w:tc>
      </w:tr>
    </w:tbl>
    <w:p w:rsidR="00B87CF2" w:rsidRPr="00B87CF2" w:rsidRDefault="00B87CF2" w:rsidP="005D2D45">
      <w:pPr>
        <w:spacing w:before="120" w:after="120"/>
        <w:ind w:right="-1"/>
        <w:jc w:val="both"/>
        <w:rPr>
          <w:rFonts w:ascii="Verdana" w:hAnsi="Verdana" w:cs="Arial"/>
          <w:sz w:val="22"/>
          <w:szCs w:val="22"/>
        </w:rPr>
      </w:pPr>
    </w:p>
    <w:sectPr w:rsidR="00B87CF2" w:rsidRPr="00B87CF2" w:rsidSect="00AE0F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418" w:bottom="1134" w:left="1418" w:header="68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2E" w:rsidRDefault="00C0782E" w:rsidP="00040536">
      <w:r>
        <w:separator/>
      </w:r>
    </w:p>
  </w:endnote>
  <w:endnote w:type="continuationSeparator" w:id="0">
    <w:p w:rsidR="00C0782E" w:rsidRDefault="00C0782E" w:rsidP="0004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2E" w:rsidRDefault="00C81831" w:rsidP="003F55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78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782E" w:rsidRDefault="00C0782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2E" w:rsidRDefault="001B0A71" w:rsidP="00047C7B">
    <w:pPr>
      <w:pStyle w:val="Rodap"/>
      <w:jc w:val="center"/>
      <w:rPr>
        <w:rFonts w:ascii="Arial" w:hAnsi="Arial" w:cs="Arial"/>
        <w:sz w:val="16"/>
        <w:szCs w:val="16"/>
      </w:rPr>
    </w:pPr>
    <w:r w:rsidRPr="001B0A71">
      <w:rPr>
        <w:noProof/>
        <w:lang w:eastAsia="zh-CN"/>
      </w:rPr>
      <w:drawing>
        <wp:inline distT="0" distB="0" distL="0" distR="0">
          <wp:extent cx="1486117" cy="351129"/>
          <wp:effectExtent l="19050" t="0" r="0" b="0"/>
          <wp:docPr id="3" name="Imagem 1" descr="Assinatura + Carimbo - FLÁV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 + Carimbo - FLÁV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73" cy="35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A71" w:rsidRDefault="001B0A71" w:rsidP="003F5562">
    <w:pPr>
      <w:pStyle w:val="Rodap"/>
      <w:jc w:val="center"/>
      <w:rPr>
        <w:rFonts w:ascii="Arial" w:hAnsi="Arial" w:cs="Arial"/>
        <w:sz w:val="16"/>
        <w:szCs w:val="16"/>
      </w:rPr>
    </w:pPr>
  </w:p>
  <w:p w:rsidR="00C0782E" w:rsidRPr="00966B1B" w:rsidRDefault="00C81831">
    <w:pPr>
      <w:pStyle w:val="Rodap"/>
      <w:jc w:val="center"/>
      <w:rPr>
        <w:rFonts w:asciiTheme="minorHAnsi" w:hAnsiTheme="minorHAnsi" w:cs="Arial"/>
        <w:sz w:val="16"/>
        <w:szCs w:val="16"/>
      </w:rPr>
    </w:pPr>
    <w:fldSimple w:instr=" FILENAME   \* MERGEFORMAT ">
      <w:r w:rsidR="00BA2FF2" w:rsidRPr="00BA2FF2">
        <w:rPr>
          <w:rFonts w:asciiTheme="minorHAnsi" w:hAnsiTheme="minorHAnsi" w:cs="Arial"/>
          <w:noProof/>
          <w:sz w:val="16"/>
          <w:szCs w:val="16"/>
        </w:rPr>
        <w:t>2 - Anexo_I-TR_09-2018_Locação</w:t>
      </w:r>
      <w:r w:rsidR="00BA2FF2" w:rsidRPr="00BA2FF2">
        <w:rPr>
          <w:rFonts w:asciiTheme="minorHAnsi" w:hAnsiTheme="minorHAnsi"/>
          <w:noProof/>
          <w:sz w:val="16"/>
          <w:szCs w:val="16"/>
        </w:rPr>
        <w:t>_Caçamba_Estacionária</w:t>
      </w:r>
    </w:fldSimple>
    <w:r w:rsidR="00C0782E" w:rsidRPr="00966B1B">
      <w:rPr>
        <w:rFonts w:asciiTheme="minorHAnsi" w:hAnsiTheme="minorHAnsi" w:cs="Arial"/>
        <w:sz w:val="16"/>
        <w:szCs w:val="16"/>
      </w:rPr>
      <w:t xml:space="preserve"> - Página </w:t>
    </w:r>
    <w:r w:rsidRPr="00966B1B">
      <w:rPr>
        <w:rFonts w:asciiTheme="minorHAnsi" w:hAnsiTheme="minorHAnsi" w:cs="Arial"/>
        <w:sz w:val="16"/>
        <w:szCs w:val="16"/>
      </w:rPr>
      <w:fldChar w:fldCharType="begin"/>
    </w:r>
    <w:r w:rsidR="00C0782E" w:rsidRPr="00966B1B">
      <w:rPr>
        <w:rFonts w:asciiTheme="minorHAnsi" w:hAnsiTheme="minorHAnsi" w:cs="Arial"/>
        <w:sz w:val="16"/>
        <w:szCs w:val="16"/>
      </w:rPr>
      <w:instrText xml:space="preserve"> PAGE </w:instrText>
    </w:r>
    <w:r w:rsidRPr="00966B1B">
      <w:rPr>
        <w:rFonts w:asciiTheme="minorHAnsi" w:hAnsiTheme="minorHAnsi" w:cs="Arial"/>
        <w:sz w:val="16"/>
        <w:szCs w:val="16"/>
      </w:rPr>
      <w:fldChar w:fldCharType="separate"/>
    </w:r>
    <w:r w:rsidR="00B8491F">
      <w:rPr>
        <w:rFonts w:asciiTheme="minorHAnsi" w:hAnsiTheme="minorHAnsi" w:cs="Arial"/>
        <w:noProof/>
        <w:sz w:val="16"/>
        <w:szCs w:val="16"/>
      </w:rPr>
      <w:t>13</w:t>
    </w:r>
    <w:r w:rsidRPr="00966B1B">
      <w:rPr>
        <w:rFonts w:asciiTheme="minorHAnsi" w:hAnsiTheme="minorHAnsi" w:cs="Arial"/>
        <w:sz w:val="16"/>
        <w:szCs w:val="16"/>
      </w:rPr>
      <w:fldChar w:fldCharType="end"/>
    </w:r>
    <w:r w:rsidR="00C0782E" w:rsidRPr="00966B1B">
      <w:rPr>
        <w:rFonts w:asciiTheme="minorHAnsi" w:hAnsiTheme="minorHAnsi" w:cs="Arial"/>
        <w:sz w:val="16"/>
        <w:szCs w:val="16"/>
      </w:rPr>
      <w:t xml:space="preserve"> de </w:t>
    </w:r>
    <w:r w:rsidRPr="00966B1B">
      <w:rPr>
        <w:rFonts w:asciiTheme="minorHAnsi" w:hAnsiTheme="minorHAnsi" w:cs="Arial"/>
        <w:sz w:val="16"/>
        <w:szCs w:val="16"/>
      </w:rPr>
      <w:fldChar w:fldCharType="begin"/>
    </w:r>
    <w:r w:rsidR="00C0782E" w:rsidRPr="00966B1B">
      <w:rPr>
        <w:rFonts w:asciiTheme="minorHAnsi" w:hAnsiTheme="minorHAnsi" w:cs="Arial"/>
        <w:sz w:val="16"/>
        <w:szCs w:val="16"/>
      </w:rPr>
      <w:instrText xml:space="preserve"> NUMPAGES </w:instrText>
    </w:r>
    <w:r w:rsidRPr="00966B1B">
      <w:rPr>
        <w:rFonts w:asciiTheme="minorHAnsi" w:hAnsiTheme="minorHAnsi" w:cs="Arial"/>
        <w:sz w:val="16"/>
        <w:szCs w:val="16"/>
      </w:rPr>
      <w:fldChar w:fldCharType="separate"/>
    </w:r>
    <w:r w:rsidR="00B8491F">
      <w:rPr>
        <w:rFonts w:asciiTheme="minorHAnsi" w:hAnsiTheme="minorHAnsi" w:cs="Arial"/>
        <w:noProof/>
        <w:sz w:val="16"/>
        <w:szCs w:val="16"/>
      </w:rPr>
      <w:t>13</w:t>
    </w:r>
    <w:r w:rsidRPr="00966B1B">
      <w:rPr>
        <w:rFonts w:asciiTheme="minorHAnsi" w:hAnsiTheme="minorHAnsi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2E" w:rsidRDefault="001B0A71" w:rsidP="00047C7B">
    <w:pPr>
      <w:pStyle w:val="Rodap"/>
      <w:jc w:val="center"/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inline distT="0" distB="0" distL="0" distR="0">
          <wp:extent cx="1486117" cy="351129"/>
          <wp:effectExtent l="19050" t="0" r="0" b="0"/>
          <wp:docPr id="2" name="Imagem 1" descr="Assinatura + Carimbo - FLÁV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 + Carimbo - FLÁV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73" cy="35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82E" w:rsidRDefault="00C0782E" w:rsidP="003F5562">
    <w:pPr>
      <w:pStyle w:val="Rodap"/>
      <w:jc w:val="center"/>
      <w:rPr>
        <w:rFonts w:ascii="Arial" w:hAnsi="Arial" w:cs="Arial"/>
        <w:sz w:val="16"/>
        <w:szCs w:val="16"/>
      </w:rPr>
    </w:pPr>
  </w:p>
  <w:p w:rsidR="00C0782E" w:rsidRPr="00C0741C" w:rsidRDefault="00C81831" w:rsidP="003F5562">
    <w:pPr>
      <w:pStyle w:val="Rodap"/>
      <w:jc w:val="center"/>
      <w:rPr>
        <w:rFonts w:asciiTheme="minorHAnsi" w:hAnsiTheme="minorHAnsi" w:cs="Arial"/>
        <w:sz w:val="16"/>
        <w:szCs w:val="16"/>
      </w:rPr>
    </w:pPr>
    <w:fldSimple w:instr=" FILENAME   \* MERGEFORMAT ">
      <w:r w:rsidR="00BA2FF2" w:rsidRPr="00BA2FF2">
        <w:rPr>
          <w:rFonts w:asciiTheme="minorHAnsi" w:hAnsiTheme="minorHAnsi" w:cs="Arial"/>
          <w:noProof/>
          <w:sz w:val="16"/>
          <w:szCs w:val="16"/>
        </w:rPr>
        <w:t>2 - Anexo_I-TR_09-2018_Locação</w:t>
      </w:r>
      <w:r w:rsidR="00BA2FF2" w:rsidRPr="00BA2FF2">
        <w:rPr>
          <w:rFonts w:asciiTheme="minorHAnsi" w:hAnsiTheme="minorHAnsi"/>
          <w:noProof/>
          <w:sz w:val="16"/>
          <w:szCs w:val="16"/>
        </w:rPr>
        <w:t>_Caçamba_Estacionária</w:t>
      </w:r>
    </w:fldSimple>
    <w:r w:rsidR="00C0782E" w:rsidRPr="00C0741C">
      <w:rPr>
        <w:rFonts w:asciiTheme="minorHAnsi" w:hAnsiTheme="minorHAnsi" w:cs="Arial"/>
        <w:sz w:val="16"/>
        <w:szCs w:val="16"/>
      </w:rPr>
      <w:t xml:space="preserve"> - Página </w:t>
    </w:r>
    <w:r w:rsidRPr="00C0741C">
      <w:rPr>
        <w:rFonts w:asciiTheme="minorHAnsi" w:hAnsiTheme="minorHAnsi" w:cs="Arial"/>
        <w:sz w:val="16"/>
        <w:szCs w:val="16"/>
      </w:rPr>
      <w:fldChar w:fldCharType="begin"/>
    </w:r>
    <w:r w:rsidR="00C0782E" w:rsidRPr="00C0741C">
      <w:rPr>
        <w:rFonts w:asciiTheme="minorHAnsi" w:hAnsiTheme="minorHAnsi" w:cs="Arial"/>
        <w:sz w:val="16"/>
        <w:szCs w:val="16"/>
      </w:rPr>
      <w:instrText xml:space="preserve"> PAGE </w:instrText>
    </w:r>
    <w:r w:rsidRPr="00C0741C">
      <w:rPr>
        <w:rFonts w:asciiTheme="minorHAnsi" w:hAnsiTheme="minorHAnsi" w:cs="Arial"/>
        <w:sz w:val="16"/>
        <w:szCs w:val="16"/>
      </w:rPr>
      <w:fldChar w:fldCharType="separate"/>
    </w:r>
    <w:r w:rsidR="00B8491F">
      <w:rPr>
        <w:rFonts w:asciiTheme="minorHAnsi" w:hAnsiTheme="minorHAnsi" w:cs="Arial"/>
        <w:noProof/>
        <w:sz w:val="16"/>
        <w:szCs w:val="16"/>
      </w:rPr>
      <w:t>1</w:t>
    </w:r>
    <w:r w:rsidRPr="00C0741C">
      <w:rPr>
        <w:rFonts w:asciiTheme="minorHAnsi" w:hAnsiTheme="minorHAnsi" w:cs="Arial"/>
        <w:sz w:val="16"/>
        <w:szCs w:val="16"/>
      </w:rPr>
      <w:fldChar w:fldCharType="end"/>
    </w:r>
    <w:r w:rsidR="00C0782E" w:rsidRPr="00C0741C">
      <w:rPr>
        <w:rFonts w:asciiTheme="minorHAnsi" w:hAnsiTheme="minorHAnsi" w:cs="Arial"/>
        <w:sz w:val="16"/>
        <w:szCs w:val="16"/>
      </w:rPr>
      <w:t xml:space="preserve"> de </w:t>
    </w:r>
    <w:r w:rsidRPr="00C0741C">
      <w:rPr>
        <w:rFonts w:asciiTheme="minorHAnsi" w:hAnsiTheme="minorHAnsi" w:cs="Arial"/>
        <w:sz w:val="16"/>
        <w:szCs w:val="16"/>
      </w:rPr>
      <w:fldChar w:fldCharType="begin"/>
    </w:r>
    <w:r w:rsidR="00C0782E" w:rsidRPr="00C0741C">
      <w:rPr>
        <w:rFonts w:asciiTheme="minorHAnsi" w:hAnsiTheme="minorHAnsi" w:cs="Arial"/>
        <w:sz w:val="16"/>
        <w:szCs w:val="16"/>
      </w:rPr>
      <w:instrText xml:space="preserve"> NUMPAGES </w:instrText>
    </w:r>
    <w:r w:rsidRPr="00C0741C">
      <w:rPr>
        <w:rFonts w:asciiTheme="minorHAnsi" w:hAnsiTheme="minorHAnsi" w:cs="Arial"/>
        <w:sz w:val="16"/>
        <w:szCs w:val="16"/>
      </w:rPr>
      <w:fldChar w:fldCharType="separate"/>
    </w:r>
    <w:r w:rsidR="00B8491F">
      <w:rPr>
        <w:rFonts w:asciiTheme="minorHAnsi" w:hAnsiTheme="minorHAnsi" w:cs="Arial"/>
        <w:noProof/>
        <w:sz w:val="16"/>
        <w:szCs w:val="16"/>
      </w:rPr>
      <w:t>13</w:t>
    </w:r>
    <w:r w:rsidRPr="00C0741C">
      <w:rPr>
        <w:rFonts w:asciiTheme="minorHAnsi" w:hAnsiTheme="minorHAnsi" w:cs="Arial"/>
        <w:sz w:val="16"/>
        <w:szCs w:val="16"/>
      </w:rPr>
      <w:fldChar w:fldCharType="end"/>
    </w:r>
  </w:p>
  <w:p w:rsidR="00C0782E" w:rsidRPr="00C0741C" w:rsidRDefault="00C0782E">
    <w:pPr>
      <w:pStyle w:val="Rodap"/>
      <w:jc w:val="cen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2E" w:rsidRDefault="00C0782E" w:rsidP="00040536">
      <w:r>
        <w:separator/>
      </w:r>
    </w:p>
  </w:footnote>
  <w:footnote w:type="continuationSeparator" w:id="0">
    <w:p w:rsidR="00C0782E" w:rsidRDefault="00C0782E" w:rsidP="00040536">
      <w:r>
        <w:continuationSeparator/>
      </w:r>
    </w:p>
  </w:footnote>
  <w:footnote w:id="1">
    <w:p w:rsidR="00C0782E" w:rsidRPr="00A8375B" w:rsidRDefault="00C0782E" w:rsidP="009969B9">
      <w:pPr>
        <w:pStyle w:val="Textodenotaderodap"/>
        <w:rPr>
          <w:rFonts w:ascii="Arial" w:hAnsi="Arial" w:cs="Arial"/>
          <w:b/>
          <w:sz w:val="16"/>
          <w:szCs w:val="18"/>
        </w:rPr>
      </w:pPr>
      <w:r w:rsidRPr="00A8375B">
        <w:rPr>
          <w:rStyle w:val="Refdenotaderodap"/>
          <w:rFonts w:ascii="Arial" w:hAnsi="Arial" w:cs="Arial"/>
          <w:sz w:val="16"/>
          <w:szCs w:val="18"/>
        </w:rPr>
        <w:footnoteRef/>
      </w:r>
      <w:r w:rsidRPr="00A8375B">
        <w:rPr>
          <w:rFonts w:ascii="Arial" w:hAnsi="Arial" w:cs="Arial"/>
          <w:sz w:val="16"/>
          <w:szCs w:val="18"/>
        </w:rPr>
        <w:t xml:space="preserve"> </w:t>
      </w:r>
      <w:r w:rsidRPr="00A8375B">
        <w:rPr>
          <w:rFonts w:ascii="Arial" w:hAnsi="Arial" w:cs="Arial"/>
          <w:b/>
          <w:sz w:val="16"/>
          <w:szCs w:val="18"/>
        </w:rPr>
        <w:t xml:space="preserve">ORIENTAÇÃO NORMATIVA Nº 39, DE 13 DE DEZEMBRO DE </w:t>
      </w:r>
      <w:proofErr w:type="gramStart"/>
      <w:r w:rsidRPr="00A8375B">
        <w:rPr>
          <w:rFonts w:ascii="Arial" w:hAnsi="Arial" w:cs="Arial"/>
          <w:b/>
          <w:sz w:val="16"/>
          <w:szCs w:val="18"/>
        </w:rPr>
        <w:t>2011</w:t>
      </w:r>
      <w:proofErr w:type="gramEnd"/>
    </w:p>
    <w:p w:rsidR="00C0782E" w:rsidRPr="00A8375B" w:rsidRDefault="00C0782E" w:rsidP="009969B9">
      <w:pPr>
        <w:pStyle w:val="Textodenotaderodap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“</w:t>
      </w:r>
      <w:r w:rsidRPr="00A8375B">
        <w:rPr>
          <w:rFonts w:ascii="Arial" w:hAnsi="Arial" w:cs="Arial"/>
          <w:sz w:val="16"/>
          <w:szCs w:val="18"/>
        </w:rPr>
        <w:t>A vigência dos contratos regidos pelo art. 57, caput, da lei 8.666, de 1993, pode ultrapassar o exercício financeiro em que celebrados, desde que as despesas a eles referentes sejam integralmente empenhadas até 31 de dezembro, permitindo-se, assim, sua inscrição em restos a pagar."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2E" w:rsidRDefault="00C0782E" w:rsidP="00641A77">
    <w:pPr>
      <w:pStyle w:val="Cabealho"/>
      <w:jc w:val="center"/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908050" cy="584635"/>
          <wp:effectExtent l="19050" t="0" r="6350" b="0"/>
          <wp:docPr id="1" name="Imagem 5" descr="logo justiça feder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justiça feder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8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82E" w:rsidRPr="00FB2764" w:rsidRDefault="00C0782E" w:rsidP="00641A77">
    <w:pPr>
      <w:pStyle w:val="xl49"/>
      <w:tabs>
        <w:tab w:val="left" w:pos="3402"/>
      </w:tabs>
      <w:spacing w:before="0" w:after="0"/>
      <w:outlineLvl w:val="0"/>
      <w:rPr>
        <w:rFonts w:ascii="Verdana" w:hAnsi="Verdana" w:cs="Arial"/>
        <w:sz w:val="20"/>
        <w:lang w:eastAsia="en-US"/>
      </w:rPr>
    </w:pPr>
    <w:r w:rsidRPr="00FB2764">
      <w:rPr>
        <w:rFonts w:ascii="Verdana" w:hAnsi="Verdana" w:cs="Arial"/>
        <w:sz w:val="20"/>
        <w:lang w:eastAsia="en-US"/>
      </w:rPr>
      <w:t>TRIBUNAL REGIONAL FEDERAL DA 5ª REGIÃO</w:t>
    </w:r>
  </w:p>
  <w:p w:rsidR="00C0782E" w:rsidRPr="00FB2764" w:rsidRDefault="00C0782E" w:rsidP="00641A77">
    <w:pPr>
      <w:pStyle w:val="xl49"/>
      <w:tabs>
        <w:tab w:val="left" w:pos="3402"/>
      </w:tabs>
      <w:spacing w:before="0" w:after="0"/>
      <w:outlineLvl w:val="0"/>
      <w:rPr>
        <w:rFonts w:ascii="Verdana" w:hAnsi="Verdana" w:cs="Arial"/>
        <w:b w:val="0"/>
        <w:sz w:val="20"/>
        <w:lang w:eastAsia="en-US"/>
      </w:rPr>
    </w:pPr>
    <w:r w:rsidRPr="00FB2764">
      <w:rPr>
        <w:rFonts w:ascii="Verdana" w:hAnsi="Verdana" w:cs="Arial"/>
        <w:b w:val="0"/>
        <w:sz w:val="20"/>
        <w:lang w:eastAsia="en-US"/>
      </w:rPr>
      <w:t>SUBSECRETARIA DE INFRAESTRUTURA E ADMINISTRAÇÃO PREDIAL</w:t>
    </w:r>
  </w:p>
  <w:p w:rsidR="00C0782E" w:rsidRPr="00FB2764" w:rsidRDefault="00C0782E" w:rsidP="00641A77">
    <w:pPr>
      <w:pStyle w:val="Cabealho"/>
      <w:jc w:val="center"/>
      <w:rPr>
        <w:rFonts w:ascii="Verdana" w:hAnsi="Verdana" w:cs="Arial"/>
        <w:lang w:eastAsia="en-US"/>
      </w:rPr>
    </w:pPr>
    <w:r>
      <w:rPr>
        <w:rFonts w:ascii="Verdana" w:hAnsi="Verdana" w:cs="Arial"/>
        <w:lang w:eastAsia="en-US"/>
      </w:rPr>
      <w:t>N</w:t>
    </w:r>
    <w:r w:rsidRPr="00222D85">
      <w:rPr>
        <w:rFonts w:ascii="Verdana" w:hAnsi="Verdana" w:cs="Arial"/>
        <w:sz w:val="18"/>
        <w:lang w:eastAsia="en-US"/>
      </w:rPr>
      <w:t xml:space="preserve">úcleo de </w:t>
    </w:r>
    <w:r>
      <w:rPr>
        <w:rFonts w:ascii="Verdana" w:hAnsi="Verdana" w:cs="Arial"/>
        <w:sz w:val="18"/>
        <w:lang w:eastAsia="en-US"/>
      </w:rPr>
      <w:t>Gestão Administrativa</w:t>
    </w:r>
    <w:r w:rsidRPr="00222D85">
      <w:rPr>
        <w:rFonts w:ascii="Verdana" w:hAnsi="Verdana" w:cs="Arial"/>
        <w:sz w:val="18"/>
        <w:lang w:eastAsia="en-US"/>
      </w:rPr>
      <w:t xml:space="preserve"> / Seção de </w:t>
    </w:r>
    <w:r>
      <w:rPr>
        <w:rFonts w:ascii="Verdana" w:hAnsi="Verdana" w:cs="Arial"/>
        <w:sz w:val="18"/>
        <w:lang w:eastAsia="en-US"/>
      </w:rPr>
      <w:t xml:space="preserve">Paisagismo, Sustentabilidade e Acessibilidade - </w:t>
    </w:r>
    <w:proofErr w:type="gramStart"/>
    <w:r>
      <w:rPr>
        <w:rFonts w:ascii="Verdana" w:hAnsi="Verdana" w:cs="Arial"/>
        <w:sz w:val="18"/>
        <w:lang w:eastAsia="en-US"/>
      </w:rPr>
      <w:t>SPSA</w:t>
    </w:r>
    <w:proofErr w:type="gramEnd"/>
    <w:r>
      <w:rPr>
        <w:rFonts w:ascii="Verdana" w:hAnsi="Verdana" w:cs="Arial"/>
        <w:lang w:eastAsia="en-US"/>
      </w:rPr>
      <w:t xml:space="preserve"> </w:t>
    </w:r>
  </w:p>
  <w:p w:rsidR="00C0782E" w:rsidRPr="00641A77" w:rsidRDefault="00C0782E" w:rsidP="00641A77">
    <w:pPr>
      <w:pStyle w:val="Cabealho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2E" w:rsidRDefault="00C0782E" w:rsidP="003F5562">
    <w:pPr>
      <w:pStyle w:val="Cabealho"/>
      <w:jc w:val="center"/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908050" cy="584635"/>
          <wp:effectExtent l="19050" t="0" r="6350" b="0"/>
          <wp:docPr id="5" name="Imagem 5" descr="logo justiça feder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justiça feder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8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782E" w:rsidRPr="00FB2764" w:rsidRDefault="00C0782E" w:rsidP="00641A77">
    <w:pPr>
      <w:pStyle w:val="xl49"/>
      <w:tabs>
        <w:tab w:val="left" w:pos="3402"/>
      </w:tabs>
      <w:spacing w:before="0" w:after="0"/>
      <w:outlineLvl w:val="0"/>
      <w:rPr>
        <w:rFonts w:ascii="Verdana" w:hAnsi="Verdana" w:cs="Arial"/>
        <w:sz w:val="20"/>
        <w:lang w:eastAsia="en-US"/>
      </w:rPr>
    </w:pPr>
    <w:r w:rsidRPr="00FB2764">
      <w:rPr>
        <w:rFonts w:ascii="Verdana" w:hAnsi="Verdana" w:cs="Arial"/>
        <w:sz w:val="20"/>
        <w:lang w:eastAsia="en-US"/>
      </w:rPr>
      <w:t>TRIBUNAL REGIONAL FEDERAL DA 5ª REGIÃO</w:t>
    </w:r>
  </w:p>
  <w:p w:rsidR="00C0782E" w:rsidRPr="00FB2764" w:rsidRDefault="00C0782E" w:rsidP="00641A77">
    <w:pPr>
      <w:pStyle w:val="xl49"/>
      <w:tabs>
        <w:tab w:val="left" w:pos="3402"/>
      </w:tabs>
      <w:spacing w:before="0" w:after="0"/>
      <w:outlineLvl w:val="0"/>
      <w:rPr>
        <w:rFonts w:ascii="Verdana" w:hAnsi="Verdana" w:cs="Arial"/>
        <w:b w:val="0"/>
        <w:sz w:val="20"/>
        <w:lang w:eastAsia="en-US"/>
      </w:rPr>
    </w:pPr>
    <w:r w:rsidRPr="00FB2764">
      <w:rPr>
        <w:rFonts w:ascii="Verdana" w:hAnsi="Verdana" w:cs="Arial"/>
        <w:b w:val="0"/>
        <w:sz w:val="20"/>
        <w:lang w:eastAsia="en-US"/>
      </w:rPr>
      <w:t>SUBSECRETARIA DE INFRAESTRUTURA E ADMINISTRAÇÃO PREDIAL</w:t>
    </w:r>
  </w:p>
  <w:p w:rsidR="00C0782E" w:rsidRPr="00FB2764" w:rsidRDefault="00C0782E" w:rsidP="00641A77">
    <w:pPr>
      <w:pStyle w:val="Cabealho"/>
      <w:jc w:val="center"/>
      <w:rPr>
        <w:rFonts w:ascii="Verdana" w:hAnsi="Verdana" w:cs="Arial"/>
        <w:lang w:eastAsia="en-US"/>
      </w:rPr>
    </w:pPr>
    <w:r>
      <w:rPr>
        <w:rFonts w:ascii="Verdana" w:hAnsi="Verdana" w:cs="Arial"/>
        <w:lang w:eastAsia="en-US"/>
      </w:rPr>
      <w:t>N</w:t>
    </w:r>
    <w:r w:rsidRPr="00222D85">
      <w:rPr>
        <w:rFonts w:ascii="Verdana" w:hAnsi="Verdana" w:cs="Arial"/>
        <w:sz w:val="18"/>
        <w:lang w:eastAsia="en-US"/>
      </w:rPr>
      <w:t xml:space="preserve">úcleo de </w:t>
    </w:r>
    <w:r>
      <w:rPr>
        <w:rFonts w:ascii="Verdana" w:hAnsi="Verdana" w:cs="Arial"/>
        <w:sz w:val="18"/>
        <w:lang w:eastAsia="en-US"/>
      </w:rPr>
      <w:t>Gestão Administrativa</w:t>
    </w:r>
    <w:r w:rsidRPr="00222D85">
      <w:rPr>
        <w:rFonts w:ascii="Verdana" w:hAnsi="Verdana" w:cs="Arial"/>
        <w:sz w:val="18"/>
        <w:lang w:eastAsia="en-US"/>
      </w:rPr>
      <w:t xml:space="preserve"> / Seção de </w:t>
    </w:r>
    <w:r>
      <w:rPr>
        <w:rFonts w:ascii="Verdana" w:hAnsi="Verdana" w:cs="Arial"/>
        <w:sz w:val="18"/>
        <w:lang w:eastAsia="en-US"/>
      </w:rPr>
      <w:t xml:space="preserve">Paisagismo, Sustentabilidade e Acessibilidade - </w:t>
    </w:r>
    <w:proofErr w:type="gramStart"/>
    <w:r>
      <w:rPr>
        <w:rFonts w:ascii="Verdana" w:hAnsi="Verdana" w:cs="Arial"/>
        <w:sz w:val="18"/>
        <w:lang w:eastAsia="en-US"/>
      </w:rPr>
      <w:t>SPSA</w:t>
    </w:r>
    <w:proofErr w:type="gramEnd"/>
    <w:r>
      <w:rPr>
        <w:rFonts w:ascii="Verdana" w:hAnsi="Verdana" w:cs="Arial"/>
        <w:lang w:eastAsia="en-US"/>
      </w:rPr>
      <w:t xml:space="preserve"> </w:t>
    </w:r>
  </w:p>
  <w:p w:rsidR="00C0782E" w:rsidRPr="002C6C45" w:rsidRDefault="00C0782E" w:rsidP="003F556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D41"/>
    <w:multiLevelType w:val="multilevel"/>
    <w:tmpl w:val="BB6835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BD310E"/>
    <w:multiLevelType w:val="multilevel"/>
    <w:tmpl w:val="A0845F60"/>
    <w:lvl w:ilvl="0">
      <w:start w:val="5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2">
    <w:nsid w:val="255C7EC2"/>
    <w:multiLevelType w:val="hybridMultilevel"/>
    <w:tmpl w:val="0228F56A"/>
    <w:lvl w:ilvl="0" w:tplc="FFFFFFFF">
      <w:start w:val="365"/>
      <w:numFmt w:val="decimal"/>
      <w:lvlText w:val="%1"/>
      <w:lvlJc w:val="left"/>
      <w:pPr>
        <w:tabs>
          <w:tab w:val="num" w:pos="2250"/>
        </w:tabs>
        <w:ind w:left="2250" w:hanging="17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34B3652D"/>
    <w:multiLevelType w:val="hybridMultilevel"/>
    <w:tmpl w:val="90A0F7FC"/>
    <w:lvl w:ilvl="0" w:tplc="0C56A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723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A4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0C1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0EA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E0CB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068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56FD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DC00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C05120"/>
    <w:multiLevelType w:val="multilevel"/>
    <w:tmpl w:val="FE56C678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ascii="Arial" w:hAnsi="Arial" w:cs="Arial" w:hint="default"/>
        <w:b/>
        <w:i w:val="0"/>
        <w:color w:val="00000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6">
    <w:nsid w:val="62006A6C"/>
    <w:multiLevelType w:val="multilevel"/>
    <w:tmpl w:val="16449A7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Verdana" w:hAnsi="Verdana" w:cs="Arial" w:hint="default"/>
        <w:b/>
        <w:strike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4C3938"/>
    <w:multiLevelType w:val="multilevel"/>
    <w:tmpl w:val="FE0CE07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28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3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42571B"/>
    <w:rsid w:val="000152D7"/>
    <w:rsid w:val="000340C9"/>
    <w:rsid w:val="0003778C"/>
    <w:rsid w:val="00040536"/>
    <w:rsid w:val="00047C7B"/>
    <w:rsid w:val="00047F1B"/>
    <w:rsid w:val="00054769"/>
    <w:rsid w:val="00067029"/>
    <w:rsid w:val="00072D70"/>
    <w:rsid w:val="000A52E1"/>
    <w:rsid w:val="000C017E"/>
    <w:rsid w:val="000C7BB3"/>
    <w:rsid w:val="000D1EFF"/>
    <w:rsid w:val="000F66ED"/>
    <w:rsid w:val="001019C6"/>
    <w:rsid w:val="0013322E"/>
    <w:rsid w:val="00134724"/>
    <w:rsid w:val="00134988"/>
    <w:rsid w:val="001355E3"/>
    <w:rsid w:val="00136C19"/>
    <w:rsid w:val="00143777"/>
    <w:rsid w:val="0014528D"/>
    <w:rsid w:val="00154822"/>
    <w:rsid w:val="00167606"/>
    <w:rsid w:val="0018120C"/>
    <w:rsid w:val="00183B25"/>
    <w:rsid w:val="00194ADA"/>
    <w:rsid w:val="00196E3C"/>
    <w:rsid w:val="001A36E7"/>
    <w:rsid w:val="001A5199"/>
    <w:rsid w:val="001B0A71"/>
    <w:rsid w:val="001C0C6D"/>
    <w:rsid w:val="001C1F3F"/>
    <w:rsid w:val="001C2C50"/>
    <w:rsid w:val="001D3D69"/>
    <w:rsid w:val="001F4EBD"/>
    <w:rsid w:val="0020639E"/>
    <w:rsid w:val="00222B30"/>
    <w:rsid w:val="00225589"/>
    <w:rsid w:val="0022580D"/>
    <w:rsid w:val="00225B25"/>
    <w:rsid w:val="00231FD0"/>
    <w:rsid w:val="002606FA"/>
    <w:rsid w:val="0026205E"/>
    <w:rsid w:val="00267C07"/>
    <w:rsid w:val="002718D0"/>
    <w:rsid w:val="00272BFA"/>
    <w:rsid w:val="00290099"/>
    <w:rsid w:val="00295DDD"/>
    <w:rsid w:val="00295F9E"/>
    <w:rsid w:val="00297474"/>
    <w:rsid w:val="002A150A"/>
    <w:rsid w:val="002A36FB"/>
    <w:rsid w:val="002E63AA"/>
    <w:rsid w:val="00301A08"/>
    <w:rsid w:val="003154B6"/>
    <w:rsid w:val="00322569"/>
    <w:rsid w:val="003335DD"/>
    <w:rsid w:val="0034172A"/>
    <w:rsid w:val="00352C26"/>
    <w:rsid w:val="00365BE8"/>
    <w:rsid w:val="00381C05"/>
    <w:rsid w:val="003A58EE"/>
    <w:rsid w:val="003B143F"/>
    <w:rsid w:val="003B653D"/>
    <w:rsid w:val="003C0BFD"/>
    <w:rsid w:val="003D7E54"/>
    <w:rsid w:val="003E3AA8"/>
    <w:rsid w:val="003F5562"/>
    <w:rsid w:val="004151C1"/>
    <w:rsid w:val="00417199"/>
    <w:rsid w:val="0042571B"/>
    <w:rsid w:val="004278B8"/>
    <w:rsid w:val="0046653C"/>
    <w:rsid w:val="00467D81"/>
    <w:rsid w:val="00470E75"/>
    <w:rsid w:val="004809F4"/>
    <w:rsid w:val="00493731"/>
    <w:rsid w:val="004D1E2E"/>
    <w:rsid w:val="004E3D89"/>
    <w:rsid w:val="004F5ED9"/>
    <w:rsid w:val="00505E60"/>
    <w:rsid w:val="005223D3"/>
    <w:rsid w:val="00522D82"/>
    <w:rsid w:val="00522E7D"/>
    <w:rsid w:val="00526A62"/>
    <w:rsid w:val="0055119B"/>
    <w:rsid w:val="005552B1"/>
    <w:rsid w:val="00560613"/>
    <w:rsid w:val="00561FE0"/>
    <w:rsid w:val="005716C5"/>
    <w:rsid w:val="005776B9"/>
    <w:rsid w:val="00594701"/>
    <w:rsid w:val="005A3CB6"/>
    <w:rsid w:val="005A613B"/>
    <w:rsid w:val="005A6CCF"/>
    <w:rsid w:val="005B2EE8"/>
    <w:rsid w:val="005B6A89"/>
    <w:rsid w:val="005D0750"/>
    <w:rsid w:val="005D2D45"/>
    <w:rsid w:val="005E5419"/>
    <w:rsid w:val="005E7F9F"/>
    <w:rsid w:val="00613C06"/>
    <w:rsid w:val="0061501A"/>
    <w:rsid w:val="0061636C"/>
    <w:rsid w:val="00623B68"/>
    <w:rsid w:val="00634478"/>
    <w:rsid w:val="00641246"/>
    <w:rsid w:val="00641A77"/>
    <w:rsid w:val="0064302A"/>
    <w:rsid w:val="00646117"/>
    <w:rsid w:val="00674E34"/>
    <w:rsid w:val="00687A47"/>
    <w:rsid w:val="006953E4"/>
    <w:rsid w:val="006A31C5"/>
    <w:rsid w:val="006C213E"/>
    <w:rsid w:val="006C2568"/>
    <w:rsid w:val="006D19FD"/>
    <w:rsid w:val="006E41DE"/>
    <w:rsid w:val="006F28F6"/>
    <w:rsid w:val="006F3D53"/>
    <w:rsid w:val="007144B0"/>
    <w:rsid w:val="0072025C"/>
    <w:rsid w:val="00732553"/>
    <w:rsid w:val="00752B5B"/>
    <w:rsid w:val="0075426E"/>
    <w:rsid w:val="00754C7B"/>
    <w:rsid w:val="007552E1"/>
    <w:rsid w:val="00755823"/>
    <w:rsid w:val="00761FFF"/>
    <w:rsid w:val="00766EF6"/>
    <w:rsid w:val="00767870"/>
    <w:rsid w:val="00774930"/>
    <w:rsid w:val="00785C68"/>
    <w:rsid w:val="00791594"/>
    <w:rsid w:val="00797EBD"/>
    <w:rsid w:val="007B4DAF"/>
    <w:rsid w:val="007B5173"/>
    <w:rsid w:val="007B7145"/>
    <w:rsid w:val="007B71B2"/>
    <w:rsid w:val="007C1047"/>
    <w:rsid w:val="007C346A"/>
    <w:rsid w:val="007C4572"/>
    <w:rsid w:val="007D45DA"/>
    <w:rsid w:val="007E04DB"/>
    <w:rsid w:val="007E15B2"/>
    <w:rsid w:val="007E22AC"/>
    <w:rsid w:val="007E57E8"/>
    <w:rsid w:val="00802CC6"/>
    <w:rsid w:val="0080734E"/>
    <w:rsid w:val="00807D1C"/>
    <w:rsid w:val="00813F54"/>
    <w:rsid w:val="00814245"/>
    <w:rsid w:val="00842AD1"/>
    <w:rsid w:val="0084314B"/>
    <w:rsid w:val="00843F8E"/>
    <w:rsid w:val="00866913"/>
    <w:rsid w:val="00872335"/>
    <w:rsid w:val="00872B95"/>
    <w:rsid w:val="00881253"/>
    <w:rsid w:val="008835CE"/>
    <w:rsid w:val="00890B25"/>
    <w:rsid w:val="00893087"/>
    <w:rsid w:val="00893179"/>
    <w:rsid w:val="0089476B"/>
    <w:rsid w:val="00894F5B"/>
    <w:rsid w:val="008A37E1"/>
    <w:rsid w:val="008E6238"/>
    <w:rsid w:val="008E6765"/>
    <w:rsid w:val="00900915"/>
    <w:rsid w:val="00900E91"/>
    <w:rsid w:val="00901C3C"/>
    <w:rsid w:val="00902EEC"/>
    <w:rsid w:val="00922478"/>
    <w:rsid w:val="00923B59"/>
    <w:rsid w:val="009331B2"/>
    <w:rsid w:val="00935168"/>
    <w:rsid w:val="00947939"/>
    <w:rsid w:val="00950DE5"/>
    <w:rsid w:val="0096195E"/>
    <w:rsid w:val="00966B1B"/>
    <w:rsid w:val="00971310"/>
    <w:rsid w:val="00982D3F"/>
    <w:rsid w:val="009969B9"/>
    <w:rsid w:val="00996B7C"/>
    <w:rsid w:val="009B38D3"/>
    <w:rsid w:val="009C4D68"/>
    <w:rsid w:val="009D2942"/>
    <w:rsid w:val="009D4728"/>
    <w:rsid w:val="009E0012"/>
    <w:rsid w:val="009F0B26"/>
    <w:rsid w:val="009F2BA3"/>
    <w:rsid w:val="009F75B0"/>
    <w:rsid w:val="00A0340A"/>
    <w:rsid w:val="00A041D0"/>
    <w:rsid w:val="00A1524C"/>
    <w:rsid w:val="00A2032A"/>
    <w:rsid w:val="00A221D5"/>
    <w:rsid w:val="00A4202A"/>
    <w:rsid w:val="00A424E4"/>
    <w:rsid w:val="00A52855"/>
    <w:rsid w:val="00A61127"/>
    <w:rsid w:val="00A74842"/>
    <w:rsid w:val="00A75BAE"/>
    <w:rsid w:val="00A8041C"/>
    <w:rsid w:val="00A81712"/>
    <w:rsid w:val="00A8316F"/>
    <w:rsid w:val="00A94C0E"/>
    <w:rsid w:val="00A959E8"/>
    <w:rsid w:val="00AA5F0C"/>
    <w:rsid w:val="00AB0BD4"/>
    <w:rsid w:val="00AD1A31"/>
    <w:rsid w:val="00AD30AF"/>
    <w:rsid w:val="00AE0924"/>
    <w:rsid w:val="00AE0F76"/>
    <w:rsid w:val="00AE6B35"/>
    <w:rsid w:val="00B06B3F"/>
    <w:rsid w:val="00B10957"/>
    <w:rsid w:val="00B15D1E"/>
    <w:rsid w:val="00B20D74"/>
    <w:rsid w:val="00B40E33"/>
    <w:rsid w:val="00B47D4D"/>
    <w:rsid w:val="00B6568B"/>
    <w:rsid w:val="00B661B9"/>
    <w:rsid w:val="00B67608"/>
    <w:rsid w:val="00B73569"/>
    <w:rsid w:val="00B77561"/>
    <w:rsid w:val="00B8491F"/>
    <w:rsid w:val="00B8502B"/>
    <w:rsid w:val="00B868F2"/>
    <w:rsid w:val="00B87CF2"/>
    <w:rsid w:val="00BA2FF2"/>
    <w:rsid w:val="00BA7089"/>
    <w:rsid w:val="00BB0604"/>
    <w:rsid w:val="00BC4250"/>
    <w:rsid w:val="00BC4889"/>
    <w:rsid w:val="00BD0F39"/>
    <w:rsid w:val="00BE7337"/>
    <w:rsid w:val="00C052E4"/>
    <w:rsid w:val="00C0741C"/>
    <w:rsid w:val="00C0782E"/>
    <w:rsid w:val="00C121D2"/>
    <w:rsid w:val="00C17D47"/>
    <w:rsid w:val="00C35257"/>
    <w:rsid w:val="00C42A26"/>
    <w:rsid w:val="00C51CE1"/>
    <w:rsid w:val="00C56A6B"/>
    <w:rsid w:val="00C56DFA"/>
    <w:rsid w:val="00C57BE5"/>
    <w:rsid w:val="00C64CF7"/>
    <w:rsid w:val="00C73195"/>
    <w:rsid w:val="00C731FD"/>
    <w:rsid w:val="00C81831"/>
    <w:rsid w:val="00C872A7"/>
    <w:rsid w:val="00C901FA"/>
    <w:rsid w:val="00C937C9"/>
    <w:rsid w:val="00CA20A2"/>
    <w:rsid w:val="00CE0376"/>
    <w:rsid w:val="00D01009"/>
    <w:rsid w:val="00D016B3"/>
    <w:rsid w:val="00D01A0C"/>
    <w:rsid w:val="00D06971"/>
    <w:rsid w:val="00D26263"/>
    <w:rsid w:val="00D33455"/>
    <w:rsid w:val="00D6056A"/>
    <w:rsid w:val="00D9065D"/>
    <w:rsid w:val="00D952E0"/>
    <w:rsid w:val="00DB1F78"/>
    <w:rsid w:val="00DB6FF9"/>
    <w:rsid w:val="00DB7063"/>
    <w:rsid w:val="00DC09E2"/>
    <w:rsid w:val="00DE5C8A"/>
    <w:rsid w:val="00DE6938"/>
    <w:rsid w:val="00DF50D4"/>
    <w:rsid w:val="00E419DB"/>
    <w:rsid w:val="00E4551C"/>
    <w:rsid w:val="00E52431"/>
    <w:rsid w:val="00E615A0"/>
    <w:rsid w:val="00E72858"/>
    <w:rsid w:val="00E811C2"/>
    <w:rsid w:val="00E836CC"/>
    <w:rsid w:val="00E85867"/>
    <w:rsid w:val="00EA0678"/>
    <w:rsid w:val="00EA21BA"/>
    <w:rsid w:val="00EB6D76"/>
    <w:rsid w:val="00EC2F7D"/>
    <w:rsid w:val="00ED3F1A"/>
    <w:rsid w:val="00ED63F2"/>
    <w:rsid w:val="00EE0F15"/>
    <w:rsid w:val="00EF0E7C"/>
    <w:rsid w:val="00EF4673"/>
    <w:rsid w:val="00F010FF"/>
    <w:rsid w:val="00F02499"/>
    <w:rsid w:val="00F060FD"/>
    <w:rsid w:val="00F1657B"/>
    <w:rsid w:val="00F21C81"/>
    <w:rsid w:val="00F23E8A"/>
    <w:rsid w:val="00F266FD"/>
    <w:rsid w:val="00F27C26"/>
    <w:rsid w:val="00F34219"/>
    <w:rsid w:val="00F41CB9"/>
    <w:rsid w:val="00F457D3"/>
    <w:rsid w:val="00F642A9"/>
    <w:rsid w:val="00F64891"/>
    <w:rsid w:val="00F67C41"/>
    <w:rsid w:val="00F7031C"/>
    <w:rsid w:val="00F92C19"/>
    <w:rsid w:val="00F96608"/>
    <w:rsid w:val="00F972C9"/>
    <w:rsid w:val="00FA01D7"/>
    <w:rsid w:val="00FB5D1D"/>
    <w:rsid w:val="00FC48D4"/>
    <w:rsid w:val="00FD7508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2571B"/>
    <w:pPr>
      <w:keepNext/>
      <w:spacing w:before="360" w:after="240"/>
      <w:ind w:left="1134"/>
      <w:outlineLvl w:val="0"/>
    </w:pPr>
    <w:rPr>
      <w:rFonts w:ascii="Arial" w:hAnsi="Arial"/>
      <w:b/>
      <w:snapToGrid w:val="0"/>
      <w:kern w:val="28"/>
    </w:rPr>
  </w:style>
  <w:style w:type="paragraph" w:styleId="Ttulo3">
    <w:name w:val="heading 3"/>
    <w:basedOn w:val="Normal"/>
    <w:next w:val="Normal"/>
    <w:link w:val="Ttulo3Char"/>
    <w:qFormat/>
    <w:rsid w:val="0042571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rsid w:val="0042571B"/>
    <w:rPr>
      <w:rFonts w:ascii="Arial" w:eastAsia="Times New Roman" w:hAnsi="Arial" w:cs="Times New Roman"/>
      <w:b/>
      <w:snapToGrid w:val="0"/>
      <w:kern w:val="28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2571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xl49">
    <w:name w:val="xl49"/>
    <w:basedOn w:val="Normal"/>
    <w:rsid w:val="0042571B"/>
    <w:pPr>
      <w:spacing w:before="100" w:after="100"/>
      <w:jc w:val="center"/>
    </w:pPr>
    <w:rPr>
      <w:rFonts w:ascii="Arial" w:hAnsi="Arial"/>
      <w:b/>
      <w:sz w:val="24"/>
    </w:rPr>
  </w:style>
  <w:style w:type="paragraph" w:styleId="Cabealho">
    <w:name w:val="header"/>
    <w:aliases w:val="Cabeçalho superior,Heading 1a"/>
    <w:basedOn w:val="Normal"/>
    <w:link w:val="CabealhoChar"/>
    <w:rsid w:val="0042571B"/>
    <w:pPr>
      <w:tabs>
        <w:tab w:val="center" w:pos="4419"/>
        <w:tab w:val="right" w:pos="8838"/>
      </w:tabs>
      <w:jc w:val="both"/>
    </w:pPr>
    <w:rPr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4257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2571B"/>
    <w:pPr>
      <w:ind w:left="2694" w:hanging="28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57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2571B"/>
    <w:rPr>
      <w:snapToGrid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42571B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257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257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571B"/>
  </w:style>
  <w:style w:type="paragraph" w:styleId="Recuodecorpodetexto2">
    <w:name w:val="Body Text Indent 2"/>
    <w:basedOn w:val="Normal"/>
    <w:link w:val="Recuodecorpodetexto2Char"/>
    <w:rsid w:val="0042571B"/>
    <w:pPr>
      <w:ind w:firstLine="1560"/>
      <w:jc w:val="both"/>
    </w:pPr>
    <w:rPr>
      <w:strike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571B"/>
    <w:rPr>
      <w:rFonts w:ascii="Times New Roman" w:eastAsia="Times New Roman" w:hAnsi="Times New Roman" w:cs="Times New Roman"/>
      <w:strike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57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14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43F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69B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69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969B9"/>
    <w:rPr>
      <w:vertAlign w:val="superscript"/>
    </w:rPr>
  </w:style>
  <w:style w:type="paragraph" w:customStyle="1" w:styleId="ContratoTitulo">
    <w:name w:val="ContratoTitulo"/>
    <w:basedOn w:val="Normal"/>
    <w:next w:val="Normal"/>
    <w:rsid w:val="009F75B0"/>
    <w:pPr>
      <w:numPr>
        <w:ilvl w:val="1"/>
        <w:numId w:val="8"/>
      </w:numPr>
      <w:spacing w:after="24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3950</Words>
  <Characters>21333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MariaBarros</dc:creator>
  <cp:lastModifiedBy>e_mmaragao</cp:lastModifiedBy>
  <cp:revision>30</cp:revision>
  <cp:lastPrinted>2018-04-16T20:03:00Z</cp:lastPrinted>
  <dcterms:created xsi:type="dcterms:W3CDTF">2018-03-23T14:24:00Z</dcterms:created>
  <dcterms:modified xsi:type="dcterms:W3CDTF">2018-08-23T14:20:00Z</dcterms:modified>
</cp:coreProperties>
</file>